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BE" w:rsidRDefault="0049150C" w:rsidP="0049150C">
      <w:pPr>
        <w:autoSpaceDE w:val="0"/>
        <w:autoSpaceDN w:val="0"/>
        <w:adjustRightInd w:val="0"/>
        <w:jc w:val="center"/>
        <w:rPr>
          <w:rFonts w:ascii="ＭＳ 明朝" w:hAnsi="Times New Roman"/>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w:t>
      </w:r>
      <w:r w:rsidR="001025A2">
        <w:rPr>
          <w:rFonts w:ascii="ＭＳ 明朝" w:hAnsi="Times New Roman" w:hint="eastAsia"/>
          <w:color w:val="000000"/>
          <w:kern w:val="0"/>
          <w:sz w:val="42"/>
        </w:rPr>
        <w:t>B</w:t>
      </w:r>
      <w:r>
        <w:rPr>
          <w:rFonts w:ascii="ＭＳ 明朝" w:hAnsi="Times New Roman" w:hint="eastAsia"/>
          <w:color w:val="000000"/>
          <w:kern w:val="0"/>
          <w:sz w:val="42"/>
        </w:rPr>
        <w:t>(</w:t>
      </w:r>
      <w:r w:rsidR="001025A2" w:rsidRPr="001961D2">
        <w:rPr>
          <w:rFonts w:ascii="ＭＳ 明朝" w:hAnsi="Times New Roman" w:hint="eastAsia"/>
          <w:color w:val="000000"/>
          <w:kern w:val="0"/>
          <w:sz w:val="42"/>
        </w:rPr>
        <w:t>数B</w:t>
      </w:r>
      <w:r w:rsidR="001961D2" w:rsidRPr="001961D2">
        <w:rPr>
          <w:rFonts w:ascii="ＭＳ 明朝" w:hAnsi="Times New Roman"/>
          <w:color w:val="000000"/>
          <w:kern w:val="0"/>
          <w:sz w:val="42"/>
        </w:rPr>
        <w:t>708</w:t>
      </w:r>
      <w:r>
        <w:rPr>
          <w:rFonts w:ascii="ＭＳ 明朝" w:hAnsi="Times New Roman" w:hint="eastAsia"/>
          <w:color w:val="000000"/>
          <w:kern w:val="0"/>
          <w:sz w:val="42"/>
        </w:rPr>
        <w:t>)，</w:t>
      </w:r>
      <w:r w:rsidR="00644ABE">
        <w:rPr>
          <w:rFonts w:ascii="ＭＳ 明朝" w:hAnsi="Times New Roman" w:hint="eastAsia"/>
          <w:color w:val="000000"/>
          <w:kern w:val="0"/>
          <w:sz w:val="42"/>
        </w:rPr>
        <w:t>新編</w:t>
      </w:r>
      <w:r>
        <w:rPr>
          <w:rFonts w:ascii="ＭＳ 明朝" w:hAnsi="Times New Roman" w:hint="eastAsia"/>
          <w:color w:val="000000"/>
          <w:kern w:val="0"/>
          <w:sz w:val="42"/>
        </w:rPr>
        <w:t>数学</w:t>
      </w:r>
      <w:r w:rsidR="001025A2">
        <w:rPr>
          <w:rFonts w:ascii="ＭＳ 明朝" w:hAnsi="Times New Roman" w:hint="eastAsia"/>
          <w:color w:val="000000"/>
          <w:kern w:val="0"/>
          <w:sz w:val="42"/>
        </w:rPr>
        <w:t>C</w:t>
      </w:r>
      <w:r>
        <w:rPr>
          <w:rFonts w:ascii="ＭＳ 明朝" w:hAnsi="Times New Roman" w:hint="eastAsia"/>
          <w:color w:val="000000"/>
          <w:kern w:val="0"/>
          <w:sz w:val="42"/>
        </w:rPr>
        <w:t>(</w:t>
      </w:r>
      <w:r w:rsidR="001025A2" w:rsidRPr="001961D2">
        <w:rPr>
          <w:rFonts w:ascii="ＭＳ 明朝" w:hAnsi="Times New Roman" w:hint="eastAsia"/>
          <w:color w:val="000000"/>
          <w:kern w:val="0"/>
          <w:sz w:val="42"/>
        </w:rPr>
        <w:t>数</w:t>
      </w:r>
      <w:r w:rsidR="001961D2" w:rsidRPr="001961D2">
        <w:rPr>
          <w:rFonts w:ascii="ＭＳ 明朝" w:hAnsi="Times New Roman" w:hint="eastAsia"/>
          <w:color w:val="000000"/>
          <w:kern w:val="0"/>
          <w:sz w:val="42"/>
        </w:rPr>
        <w:t>C</w:t>
      </w:r>
      <w:r w:rsidR="001961D2" w:rsidRPr="001961D2">
        <w:rPr>
          <w:rFonts w:ascii="ＭＳ 明朝" w:hAnsi="Times New Roman"/>
          <w:color w:val="000000"/>
          <w:kern w:val="0"/>
          <w:sz w:val="42"/>
        </w:rPr>
        <w:t>706</w:t>
      </w:r>
      <w:r>
        <w:rPr>
          <w:rFonts w:ascii="ＭＳ 明朝" w:hAnsi="Times New Roman" w:hint="eastAsia"/>
          <w:color w:val="000000"/>
          <w:kern w:val="0"/>
          <w:sz w:val="42"/>
        </w:rPr>
        <w:t>)</w:t>
      </w:r>
      <w:r w:rsidR="001025A2">
        <w:rPr>
          <w:rFonts w:ascii="ＭＳ 明朝" w:hAnsi="Times New Roman" w:hint="eastAsia"/>
          <w:color w:val="000000"/>
          <w:kern w:val="0"/>
          <w:sz w:val="42"/>
        </w:rPr>
        <w:t>，新編数学Ⅲ</w:t>
      </w:r>
      <w:r w:rsidR="009A4F33">
        <w:rPr>
          <w:rFonts w:ascii="ＭＳ 明朝" w:hAnsi="Times New Roman" w:hint="eastAsia"/>
          <w:color w:val="000000"/>
          <w:kern w:val="0"/>
          <w:sz w:val="42"/>
        </w:rPr>
        <w:t>（</w:t>
      </w:r>
      <w:r w:rsidR="001025A2" w:rsidRPr="001961D2">
        <w:rPr>
          <w:rFonts w:ascii="ＭＳ 明朝" w:hAnsi="Times New Roman" w:hint="eastAsia"/>
          <w:color w:val="000000"/>
          <w:kern w:val="0"/>
          <w:sz w:val="42"/>
        </w:rPr>
        <w:t>数</w:t>
      </w:r>
      <w:r w:rsidR="001961D2" w:rsidRPr="001961D2">
        <w:rPr>
          <w:rFonts w:ascii="ＭＳ 明朝" w:hAnsi="Times New Roman" w:hint="eastAsia"/>
          <w:color w:val="000000"/>
          <w:kern w:val="0"/>
          <w:sz w:val="42"/>
        </w:rPr>
        <w:t>Ⅲ</w:t>
      </w:r>
      <w:r w:rsidR="00EB1AFF" w:rsidRPr="001961D2">
        <w:rPr>
          <w:rFonts w:ascii="ＭＳ 明朝" w:hAnsi="Times New Roman"/>
          <w:color w:val="000000"/>
          <w:kern w:val="0"/>
          <w:sz w:val="42"/>
        </w:rPr>
        <w:t>706</w:t>
      </w:r>
      <w:r w:rsidR="009A4F33">
        <w:rPr>
          <w:rFonts w:ascii="ＭＳ 明朝" w:hAnsi="Times New Roman" w:hint="eastAsia"/>
          <w:color w:val="000000"/>
          <w:kern w:val="0"/>
          <w:sz w:val="42"/>
        </w:rPr>
        <w:t>）</w:t>
      </w:r>
    </w:p>
    <w:p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rsidTr="007F3F2D">
        <w:trPr>
          <w:cantSplit/>
          <w:trHeight w:val="278"/>
          <w:tblHeader/>
        </w:trPr>
        <w:tc>
          <w:tcPr>
            <w:tcW w:w="4258" w:type="dxa"/>
            <w:tcBorders>
              <w:top w:val="single" w:sz="4" w:space="0" w:color="000000"/>
              <w:left w:val="single" w:sz="4" w:space="0" w:color="000000"/>
              <w:bottom w:val="nil"/>
              <w:right w:val="single" w:sz="4" w:space="0" w:color="000000"/>
            </w:tcBorders>
          </w:tcPr>
          <w:p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rsidTr="007F3F2D">
        <w:trPr>
          <w:cantSplit/>
          <w:trHeight w:val="1963"/>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rsidR="00A00D9D" w:rsidRDefault="00A00D9D" w:rsidP="00A00D9D">
            <w:pPr>
              <w:ind w:left="210" w:hangingChars="100" w:hanging="210"/>
              <w:rPr>
                <w:rFonts w:ascii="ＭＳ 明朝"/>
                <w:color w:val="000000"/>
                <w:kern w:val="0"/>
              </w:rPr>
            </w:pPr>
            <w:r>
              <w:rPr>
                <w:rFonts w:ascii="ＭＳ 明朝" w:hint="eastAsia"/>
                <w:color w:val="000000"/>
                <w:kern w:val="0"/>
              </w:rPr>
              <w:t>・</w:t>
            </w:r>
            <w:r w:rsidR="009A3D07">
              <w:rPr>
                <w:rFonts w:ascii="ＭＳ 明朝" w:hint="eastAsia"/>
                <w:color w:val="000000"/>
                <w:kern w:val="0"/>
              </w:rPr>
              <w:t>例と問</w:t>
            </w:r>
            <w:r>
              <w:rPr>
                <w:rFonts w:ascii="ＭＳ 明朝" w:hint="eastAsia"/>
                <w:color w:val="000000"/>
                <w:kern w:val="0"/>
              </w:rPr>
              <w:t>，例題と練習の関係性を分かりやすくするために，対応する例と問，例題と練習の</w:t>
            </w:r>
            <w:r w:rsidR="009A3D07">
              <w:rPr>
                <w:rFonts w:ascii="ＭＳ 明朝" w:hint="eastAsia"/>
                <w:color w:val="000000"/>
                <w:kern w:val="0"/>
              </w:rPr>
              <w:t>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また，問・練習については，例・例題を見れば理解できるように編集しました。</w:t>
            </w:r>
          </w:p>
          <w:p w:rsidR="00A00D9D" w:rsidRDefault="00230865" w:rsidP="00A00D9D">
            <w:pPr>
              <w:ind w:left="210" w:hangingChars="100" w:hanging="210"/>
            </w:pPr>
            <w:r>
              <w:rPr>
                <w:rFonts w:hint="eastAsia"/>
              </w:rPr>
              <w:t>・</w:t>
            </w:r>
            <w:r w:rsidR="008F1688">
              <w:rPr>
                <w:rFonts w:hint="eastAsia"/>
              </w:rPr>
              <w:t>効果的に学習ができるように</w:t>
            </w:r>
            <w:r w:rsidR="009A3D07">
              <w:rPr>
                <w:rFonts w:hint="eastAsia"/>
              </w:rPr>
              <w:t>，各章の初めに「ふり返り」として，既習事項のまとめと演習を</w:t>
            </w:r>
            <w:r w:rsidR="00A00D9D">
              <w:rPr>
                <w:rFonts w:hint="eastAsia"/>
              </w:rPr>
              <w:t>取り上げ</w:t>
            </w:r>
            <w:r w:rsidR="009A3D07">
              <w:rPr>
                <w:rFonts w:hint="eastAsia"/>
              </w:rPr>
              <w:t>，無理なく各章の内容に入れるように</w:t>
            </w:r>
            <w:r w:rsidR="00A00D9D">
              <w:rPr>
                <w:rFonts w:hint="eastAsia"/>
              </w:rPr>
              <w:t>工夫を凝らし</w:t>
            </w:r>
            <w:r w:rsidR="008F1688">
              <w:rPr>
                <w:rFonts w:hint="eastAsia"/>
              </w:rPr>
              <w:t>ました。</w:t>
            </w:r>
          </w:p>
          <w:p w:rsidR="00A00D9D" w:rsidRDefault="009A3D07" w:rsidP="00A00D9D">
            <w:pPr>
              <w:ind w:left="210" w:hangingChars="100" w:hanging="210"/>
            </w:pPr>
            <w:r>
              <w:rPr>
                <w:rFonts w:hint="eastAsia"/>
              </w:rPr>
              <w:t>・内容の取り上げ方や配列を工夫し，スムーズな授業展開ができるようにしました。</w:t>
            </w:r>
          </w:p>
          <w:p w:rsidR="001961D2" w:rsidRPr="001961D2" w:rsidRDefault="001961D2" w:rsidP="00B74272">
            <w:pPr>
              <w:ind w:leftChars="200" w:left="1260" w:hangingChars="400" w:hanging="840"/>
            </w:pPr>
            <w:r w:rsidRPr="001961D2">
              <w:t>数学</w:t>
            </w:r>
            <w:r w:rsidRPr="001961D2">
              <w:t>C</w:t>
            </w:r>
            <w:r w:rsidRPr="001961D2">
              <w:t xml:space="preserve">　</w:t>
            </w:r>
            <w:r w:rsidR="009D1EB8">
              <w:rPr>
                <w:rFonts w:hint="eastAsia"/>
              </w:rPr>
              <w:t>「</w:t>
            </w:r>
            <w:r>
              <w:t>数学</w:t>
            </w:r>
            <w:r>
              <w:t>C</w:t>
            </w:r>
            <w:r w:rsidR="009D1EB8">
              <w:rPr>
                <w:rFonts w:hint="eastAsia"/>
              </w:rPr>
              <w:t>」</w:t>
            </w:r>
            <w:r>
              <w:t>の「</w:t>
            </w:r>
            <w:r w:rsidRPr="001961D2">
              <w:rPr>
                <w:rFonts w:hint="eastAsia"/>
              </w:rPr>
              <w:t>平面上の曲線と複素数平面</w:t>
            </w:r>
            <w:r>
              <w:t>」</w:t>
            </w:r>
            <w:r w:rsidRPr="001961D2">
              <w:rPr>
                <w:rFonts w:hint="eastAsia"/>
              </w:rPr>
              <w:t>を，第</w:t>
            </w:r>
            <w:r>
              <w:rPr>
                <w:rFonts w:hint="eastAsia"/>
              </w:rPr>
              <w:t>2</w:t>
            </w:r>
            <w:r w:rsidRPr="001961D2">
              <w:rPr>
                <w:rFonts w:hint="eastAsia"/>
              </w:rPr>
              <w:t>章</w:t>
            </w:r>
            <w:r>
              <w:t>「複素数平面」と第</w:t>
            </w:r>
            <w:r>
              <w:t>3</w:t>
            </w:r>
            <w:r>
              <w:t>章「平面上の曲線」</w:t>
            </w:r>
            <w:r w:rsidR="00385D61" w:rsidRPr="00385D61">
              <w:rPr>
                <w:rFonts w:hint="eastAsia"/>
              </w:rPr>
              <w:t>の</w:t>
            </w:r>
            <w:r w:rsidR="00385D61" w:rsidRPr="00385D61">
              <w:rPr>
                <w:rFonts w:hint="eastAsia"/>
              </w:rPr>
              <w:t>2</w:t>
            </w:r>
            <w:r w:rsidR="00385D61" w:rsidRPr="00385D61">
              <w:rPr>
                <w:rFonts w:hint="eastAsia"/>
              </w:rPr>
              <w:t>つの章に分け，ひとつひとつの内容で達成感を得られるようにしています。</w:t>
            </w:r>
          </w:p>
          <w:p w:rsidR="00385D61" w:rsidRPr="001961D2" w:rsidRDefault="00385D61" w:rsidP="00385D61">
            <w:pPr>
              <w:ind w:leftChars="200" w:left="1260" w:hangingChars="400" w:hanging="840"/>
            </w:pPr>
            <w:r w:rsidRPr="00385D61">
              <w:t>数学</w:t>
            </w:r>
            <w:r w:rsidRPr="00385D61">
              <w:rPr>
                <w:rFonts w:ascii="ＭＳ 明朝" w:hAnsi="ＭＳ 明朝" w:cs="ＭＳ 明朝"/>
              </w:rPr>
              <w:t xml:space="preserve">Ⅲ　</w:t>
            </w:r>
            <w:r w:rsidR="009D1EB8">
              <w:rPr>
                <w:rFonts w:ascii="ＭＳ 明朝" w:hAnsi="ＭＳ 明朝" w:cs="ＭＳ 明朝" w:hint="eastAsia"/>
              </w:rPr>
              <w:t>「</w:t>
            </w:r>
            <w:r>
              <w:t>数学</w:t>
            </w:r>
            <w:r>
              <w:rPr>
                <w:rFonts w:ascii="ＭＳ 明朝" w:hAnsi="ＭＳ 明朝" w:cs="ＭＳ 明朝"/>
              </w:rPr>
              <w:t>Ⅲ</w:t>
            </w:r>
            <w:r w:rsidR="009D1EB8">
              <w:rPr>
                <w:rFonts w:ascii="ＭＳ 明朝" w:hAnsi="ＭＳ 明朝" w:cs="ＭＳ 明朝" w:hint="eastAsia"/>
              </w:rPr>
              <w:t>」</w:t>
            </w:r>
            <w:r>
              <w:t>の「</w:t>
            </w:r>
            <w:r>
              <w:rPr>
                <w:rFonts w:hint="eastAsia"/>
              </w:rPr>
              <w:t>極限</w:t>
            </w:r>
            <w:r>
              <w:t>」</w:t>
            </w:r>
            <w:r w:rsidRPr="001961D2">
              <w:rPr>
                <w:rFonts w:hint="eastAsia"/>
              </w:rPr>
              <w:t>を，第</w:t>
            </w:r>
            <w:r>
              <w:rPr>
                <w:rFonts w:hint="eastAsia"/>
              </w:rPr>
              <w:t>1</w:t>
            </w:r>
            <w:r w:rsidRPr="001961D2">
              <w:rPr>
                <w:rFonts w:hint="eastAsia"/>
              </w:rPr>
              <w:t>章</w:t>
            </w:r>
            <w:r>
              <w:t>「数列の極限」と第</w:t>
            </w:r>
            <w:r>
              <w:t>2</w:t>
            </w:r>
            <w:r>
              <w:t>章「関数とその極限」</w:t>
            </w:r>
            <w:r w:rsidRPr="00385D61">
              <w:rPr>
                <w:rFonts w:hint="eastAsia"/>
              </w:rPr>
              <w:t>の</w:t>
            </w:r>
            <w:r w:rsidRPr="00385D61">
              <w:rPr>
                <w:rFonts w:hint="eastAsia"/>
              </w:rPr>
              <w:t>2</w:t>
            </w:r>
            <w:r w:rsidRPr="00385D61">
              <w:rPr>
                <w:rFonts w:hint="eastAsia"/>
              </w:rPr>
              <w:t>つの章に分け，ひとつひとつの内容で達成感を得られるようにしています。</w:t>
            </w:r>
          </w:p>
          <w:p w:rsidR="004F6270" w:rsidRPr="008F1688" w:rsidRDefault="004F6270" w:rsidP="00385D61">
            <w:pPr>
              <w:ind w:leftChars="200" w:left="1260" w:hangingChars="400" w:hanging="840"/>
            </w:pPr>
          </w:p>
        </w:tc>
      </w:tr>
      <w:tr w:rsidR="00552695" w:rsidTr="007F3F2D">
        <w:trPr>
          <w:cantSplit/>
          <w:trHeight w:val="906"/>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rsidR="004F6270" w:rsidRDefault="00230865" w:rsidP="004F6270">
            <w:pPr>
              <w:ind w:left="210" w:hangingChars="100" w:hanging="210"/>
              <w:jc w:val="left"/>
            </w:pPr>
            <w:r>
              <w:rPr>
                <w:rFonts w:hint="eastAsia"/>
              </w:rPr>
              <w:t>・</w:t>
            </w:r>
            <w:r w:rsidR="002B6586">
              <w:rPr>
                <w:rFonts w:hint="eastAsia"/>
              </w:rPr>
              <w:t>各章の</w:t>
            </w:r>
            <w:r w:rsidR="00A00D9D">
              <w:rPr>
                <w:rFonts w:hint="eastAsia"/>
              </w:rPr>
              <w:t>章扉</w:t>
            </w:r>
            <w:r w:rsidR="002B6586">
              <w:rPr>
                <w:rFonts w:hint="eastAsia"/>
              </w:rPr>
              <w:t>では</w:t>
            </w:r>
            <w:r w:rsidR="00A00D9D">
              <w:rPr>
                <w:rFonts w:hint="eastAsia"/>
              </w:rPr>
              <w:t>，日常・社会の事象などの</w:t>
            </w:r>
            <w:r w:rsidR="002B6586">
              <w:rPr>
                <w:rFonts w:hint="eastAsia"/>
              </w:rPr>
              <w:t>身近な題材</w:t>
            </w:r>
            <w:r w:rsidR="00A00D9D">
              <w:rPr>
                <w:rFonts w:hint="eastAsia"/>
              </w:rPr>
              <w:t>に関する問いかけ</w:t>
            </w:r>
            <w:r w:rsidR="002B6586">
              <w:rPr>
                <w:rFonts w:hint="eastAsia"/>
              </w:rPr>
              <w:t>を取り上げ</w:t>
            </w:r>
            <w:r w:rsidR="00A00D9D">
              <w:rPr>
                <w:rFonts w:hint="eastAsia"/>
              </w:rPr>
              <w:t>，各</w:t>
            </w:r>
            <w:r w:rsidR="002B6586">
              <w:rPr>
                <w:rFonts w:hint="eastAsia"/>
              </w:rPr>
              <w:t>章</w:t>
            </w:r>
            <w:r w:rsidR="00A00D9D">
              <w:rPr>
                <w:rFonts w:hint="eastAsia"/>
              </w:rPr>
              <w:t>の例，例題，</w:t>
            </w:r>
            <w:r w:rsidR="00A00D9D">
              <w:rPr>
                <w:rFonts w:hint="eastAsia"/>
              </w:rPr>
              <w:t>math</w:t>
            </w:r>
            <w:r w:rsidR="00A00D9D">
              <w:rPr>
                <w:rFonts w:hint="eastAsia"/>
              </w:rPr>
              <w:t>探で解決できるようにしました。章扉での問いかけと本文での解決によって，生徒が各章の内容について興味・関心を持てるようにしています。</w:t>
            </w:r>
          </w:p>
          <w:p w:rsidR="004F6270" w:rsidRDefault="00230865" w:rsidP="004F6270">
            <w:pPr>
              <w:ind w:left="210" w:hangingChars="100" w:hanging="210"/>
              <w:jc w:val="left"/>
            </w:pPr>
            <w:r>
              <w:rPr>
                <w:rFonts w:hint="eastAsia"/>
              </w:rPr>
              <w:t>・</w:t>
            </w:r>
            <w:r w:rsidR="00A00D9D">
              <w:rPr>
                <w:rFonts w:hint="eastAsia"/>
              </w:rPr>
              <w:t>表紙や</w:t>
            </w:r>
            <w:r w:rsidR="002B6586">
              <w:rPr>
                <w:rFonts w:hint="eastAsia"/>
              </w:rPr>
              <w:t>前見返しで，本書の内容に関連した身近な題材を写真とともに掲載し，身の回りの内容が数学に関連していることを意識できる構成にしています。</w:t>
            </w:r>
          </w:p>
          <w:p w:rsidR="008F1688" w:rsidRDefault="00230865" w:rsidP="004F6270">
            <w:pPr>
              <w:ind w:left="210" w:hangingChars="100" w:hanging="210"/>
              <w:jc w:val="left"/>
            </w:pPr>
            <w:r>
              <w:rPr>
                <w:rFonts w:hint="eastAsia"/>
              </w:rPr>
              <w:t>・</w:t>
            </w:r>
            <w:r w:rsidR="002B6586">
              <w:rPr>
                <w:rFonts w:hint="eastAsia"/>
              </w:rPr>
              <w:t>各章の関連した数学者を</w:t>
            </w:r>
            <w:r w:rsidR="00A00D9D">
              <w:rPr>
                <w:rFonts w:hint="eastAsia"/>
              </w:rPr>
              <w:t>巻末で</w:t>
            </w:r>
            <w:r w:rsidR="002B6586">
              <w:rPr>
                <w:rFonts w:hint="eastAsia"/>
              </w:rPr>
              <w:t>取り上げました。</w:t>
            </w:r>
          </w:p>
          <w:p w:rsidR="004F6270" w:rsidRPr="008F1688" w:rsidRDefault="004F6270" w:rsidP="004F6270">
            <w:pPr>
              <w:ind w:left="210" w:hangingChars="100" w:hanging="210"/>
              <w:jc w:val="left"/>
            </w:pPr>
          </w:p>
        </w:tc>
      </w:tr>
      <w:tr w:rsidR="00552695" w:rsidRPr="005E12A0" w:rsidTr="007F3F2D">
        <w:trPr>
          <w:cantSplit/>
          <w:trHeight w:val="1155"/>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rsidR="004F6270" w:rsidRPr="00FF65C8" w:rsidRDefault="002B6586" w:rsidP="004F6270">
            <w:pPr>
              <w:ind w:left="210" w:hangingChars="100" w:hanging="210"/>
            </w:pPr>
            <w:r>
              <w:rPr>
                <w:rFonts w:hint="eastAsia"/>
              </w:rPr>
              <w:t>・視覚的に理解できるように</w:t>
            </w:r>
            <w:r w:rsidR="00A00D9D">
              <w:rPr>
                <w:rFonts w:hint="eastAsia"/>
              </w:rPr>
              <w:t>，</w:t>
            </w:r>
            <w:r>
              <w:rPr>
                <w:rFonts w:hint="eastAsia"/>
              </w:rPr>
              <w:t>本文と側注の図式化したイメージ図に関連した</w:t>
            </w:r>
            <w:r w:rsidR="00A00D9D">
              <w:rPr>
                <w:rFonts w:hint="eastAsia"/>
              </w:rPr>
              <w:t>色使いをしています。</w:t>
            </w:r>
          </w:p>
          <w:p w:rsidR="004F6270" w:rsidRPr="00FF65C8" w:rsidRDefault="00FF65C8" w:rsidP="00B74272">
            <w:pPr>
              <w:ind w:leftChars="100" w:left="210" w:firstLineChars="100" w:firstLine="210"/>
            </w:pPr>
            <w:r w:rsidRPr="00FF65C8">
              <w:rPr>
                <w:rFonts w:hint="eastAsia"/>
              </w:rPr>
              <w:t>数学</w:t>
            </w:r>
            <w:r w:rsidRPr="00FF65C8">
              <w:rPr>
                <w:rFonts w:hint="eastAsia"/>
              </w:rPr>
              <w:t>B</w:t>
            </w:r>
            <w:r w:rsidR="004F6270" w:rsidRPr="00FF65C8">
              <w:rPr>
                <w:rFonts w:hint="eastAsia"/>
              </w:rPr>
              <w:t xml:space="preserve">　</w:t>
            </w:r>
            <w:r w:rsidR="002B6586" w:rsidRPr="00FF65C8">
              <w:rPr>
                <w:rFonts w:hint="eastAsia"/>
              </w:rPr>
              <w:t>p.</w:t>
            </w:r>
            <w:r w:rsidRPr="00FF65C8">
              <w:t>10</w:t>
            </w:r>
            <w:r w:rsidR="00A00D9D" w:rsidRPr="00FF65C8">
              <w:rPr>
                <w:rFonts w:hint="eastAsia"/>
              </w:rPr>
              <w:t>～</w:t>
            </w:r>
            <w:r w:rsidRPr="00FF65C8">
              <w:rPr>
                <w:rFonts w:hint="eastAsia"/>
              </w:rPr>
              <w:t>1</w:t>
            </w:r>
            <w:r w:rsidR="002B6586" w:rsidRPr="00FF65C8">
              <w:rPr>
                <w:rFonts w:hint="eastAsia"/>
              </w:rPr>
              <w:t>1</w:t>
            </w:r>
            <w:r w:rsidR="004F6270" w:rsidRPr="00FF65C8">
              <w:rPr>
                <w:rFonts w:hint="eastAsia"/>
              </w:rPr>
              <w:t>（</w:t>
            </w:r>
            <w:r w:rsidRPr="00FF65C8">
              <w:rPr>
                <w:rFonts w:hint="eastAsia"/>
              </w:rPr>
              <w:t>等差数列</w:t>
            </w:r>
            <w:r w:rsidR="004F6270" w:rsidRPr="00FF65C8">
              <w:rPr>
                <w:rFonts w:hint="eastAsia"/>
              </w:rPr>
              <w:t>），</w:t>
            </w:r>
            <w:r w:rsidR="00D66154">
              <w:rPr>
                <w:rFonts w:hint="eastAsia"/>
              </w:rPr>
              <w:t>90</w:t>
            </w:r>
            <w:r w:rsidR="00D66154">
              <w:rPr>
                <w:rFonts w:hint="eastAsia"/>
              </w:rPr>
              <w:t>，</w:t>
            </w:r>
            <w:r w:rsidRPr="00FF65C8">
              <w:rPr>
                <w:rFonts w:hint="eastAsia"/>
              </w:rPr>
              <w:t>92</w:t>
            </w:r>
            <w:r w:rsidR="004F6270" w:rsidRPr="00FF65C8">
              <w:rPr>
                <w:rFonts w:hint="eastAsia"/>
              </w:rPr>
              <w:t>（</w:t>
            </w:r>
            <w:r w:rsidRPr="00FF65C8">
              <w:rPr>
                <w:rFonts w:hint="eastAsia"/>
              </w:rPr>
              <w:t>仮説検定</w:t>
            </w:r>
            <w:r w:rsidR="004F6270" w:rsidRPr="00FF65C8">
              <w:rPr>
                <w:rFonts w:hint="eastAsia"/>
              </w:rPr>
              <w:t>）</w:t>
            </w:r>
          </w:p>
          <w:p w:rsidR="004F6270" w:rsidRPr="00FF65C8" w:rsidRDefault="002B6586" w:rsidP="00B74272">
            <w:pPr>
              <w:ind w:leftChars="100" w:left="210" w:firstLineChars="100" w:firstLine="210"/>
            </w:pPr>
            <w:r w:rsidRPr="00FF65C8">
              <w:rPr>
                <w:rFonts w:hint="eastAsia"/>
              </w:rPr>
              <w:t>数学</w:t>
            </w:r>
            <w:r w:rsidR="00FF65C8" w:rsidRPr="00FF65C8">
              <w:rPr>
                <w:rFonts w:hint="eastAsia"/>
              </w:rPr>
              <w:t>C</w:t>
            </w:r>
            <w:r w:rsidR="004F6270" w:rsidRPr="00FF65C8">
              <w:rPr>
                <w:rFonts w:hint="eastAsia"/>
              </w:rPr>
              <w:t xml:space="preserve">　</w:t>
            </w:r>
            <w:r w:rsidR="00FF65C8" w:rsidRPr="00FF65C8">
              <w:rPr>
                <w:rFonts w:hint="eastAsia"/>
              </w:rPr>
              <w:t>p.10</w:t>
            </w:r>
            <w:r w:rsidR="004F6270" w:rsidRPr="00FF65C8">
              <w:rPr>
                <w:rFonts w:hint="eastAsia"/>
              </w:rPr>
              <w:t>（</w:t>
            </w:r>
            <w:r w:rsidR="00FF65C8" w:rsidRPr="00FF65C8">
              <w:rPr>
                <w:rFonts w:hint="eastAsia"/>
              </w:rPr>
              <w:t>ベクトルの和・差・実数倍</w:t>
            </w:r>
            <w:r w:rsidR="004F6270" w:rsidRPr="00FF65C8">
              <w:rPr>
                <w:rFonts w:hint="eastAsia"/>
              </w:rPr>
              <w:t>）</w:t>
            </w:r>
            <w:r w:rsidR="00A00D9D" w:rsidRPr="00FF65C8">
              <w:rPr>
                <w:rFonts w:hint="eastAsia"/>
              </w:rPr>
              <w:t>，</w:t>
            </w:r>
            <w:r w:rsidR="00FF65C8" w:rsidRPr="00FF65C8">
              <w:rPr>
                <w:rFonts w:hint="eastAsia"/>
              </w:rPr>
              <w:t>68</w:t>
            </w:r>
            <w:r w:rsidR="004F6270" w:rsidRPr="00FF65C8">
              <w:rPr>
                <w:rFonts w:hint="eastAsia"/>
              </w:rPr>
              <w:t>（</w:t>
            </w:r>
            <w:r w:rsidR="00FF65C8" w:rsidRPr="00FF65C8">
              <w:rPr>
                <w:rFonts w:hint="eastAsia"/>
              </w:rPr>
              <w:t>複素数平面</w:t>
            </w:r>
            <w:r w:rsidR="004F6270" w:rsidRPr="00FF65C8">
              <w:rPr>
                <w:rFonts w:hint="eastAsia"/>
              </w:rPr>
              <w:t>）</w:t>
            </w:r>
          </w:p>
          <w:p w:rsidR="004F6270" w:rsidRPr="00FF65C8" w:rsidRDefault="00A00D9D" w:rsidP="00FF65C8">
            <w:pPr>
              <w:ind w:leftChars="100" w:left="210" w:firstLineChars="100" w:firstLine="210"/>
            </w:pPr>
            <w:r w:rsidRPr="00FF65C8">
              <w:rPr>
                <w:rFonts w:hint="eastAsia"/>
              </w:rPr>
              <w:t>数学</w:t>
            </w:r>
            <w:r w:rsidR="00FF65C8" w:rsidRPr="00FF65C8">
              <w:rPr>
                <w:rFonts w:hint="eastAsia"/>
              </w:rPr>
              <w:t>Ⅲ</w:t>
            </w:r>
            <w:r w:rsidR="004F6270" w:rsidRPr="00FF65C8">
              <w:rPr>
                <w:rFonts w:hint="eastAsia"/>
              </w:rPr>
              <w:t xml:space="preserve">　</w:t>
            </w:r>
            <w:r w:rsidRPr="00FF65C8">
              <w:rPr>
                <w:rFonts w:hint="eastAsia"/>
              </w:rPr>
              <w:t>p.</w:t>
            </w:r>
            <w:r w:rsidR="00FF65C8" w:rsidRPr="00FF65C8">
              <w:rPr>
                <w:rFonts w:hint="eastAsia"/>
              </w:rPr>
              <w:t>9</w:t>
            </w:r>
            <w:r w:rsidR="00D66154">
              <w:rPr>
                <w:rFonts w:hint="eastAsia"/>
              </w:rPr>
              <w:t>～</w:t>
            </w:r>
            <w:r w:rsidR="00D66154">
              <w:rPr>
                <w:rFonts w:hint="eastAsia"/>
              </w:rPr>
              <w:t>10</w:t>
            </w:r>
            <w:r w:rsidR="004F6270" w:rsidRPr="00FF65C8">
              <w:rPr>
                <w:rFonts w:hint="eastAsia"/>
              </w:rPr>
              <w:t>（</w:t>
            </w:r>
            <w:r w:rsidR="00FF65C8" w:rsidRPr="00FF65C8">
              <w:rPr>
                <w:rFonts w:hint="eastAsia"/>
              </w:rPr>
              <w:t>無限数列と極限</w:t>
            </w:r>
            <w:r w:rsidR="004F6270" w:rsidRPr="00FF65C8">
              <w:rPr>
                <w:rFonts w:hint="eastAsia"/>
              </w:rPr>
              <w:t>）</w:t>
            </w:r>
            <w:r w:rsidR="00FF65C8" w:rsidRPr="00FF65C8">
              <w:rPr>
                <w:rFonts w:hint="eastAsia"/>
              </w:rPr>
              <w:t>，</w:t>
            </w:r>
            <w:r w:rsidR="00FF65C8" w:rsidRPr="00FF65C8">
              <w:rPr>
                <w:rFonts w:hint="eastAsia"/>
              </w:rPr>
              <w:t>100</w:t>
            </w:r>
            <w:r w:rsidR="00FF65C8" w:rsidRPr="00FF65C8">
              <w:rPr>
                <w:rFonts w:hint="eastAsia"/>
              </w:rPr>
              <w:t>～</w:t>
            </w:r>
            <w:r w:rsidR="00FF65C8" w:rsidRPr="00FF65C8">
              <w:rPr>
                <w:rFonts w:hint="eastAsia"/>
              </w:rPr>
              <w:t>101</w:t>
            </w:r>
            <w:r w:rsidR="00FF65C8" w:rsidRPr="00FF65C8">
              <w:rPr>
                <w:rFonts w:hint="eastAsia"/>
              </w:rPr>
              <w:t>（第</w:t>
            </w:r>
            <w:r w:rsidR="00FF65C8" w:rsidRPr="00FF65C8">
              <w:rPr>
                <w:rFonts w:hint="eastAsia"/>
              </w:rPr>
              <w:t>2</w:t>
            </w:r>
            <w:r w:rsidR="00FF65C8" w:rsidRPr="00FF65C8">
              <w:rPr>
                <w:rFonts w:hint="eastAsia"/>
              </w:rPr>
              <w:t>次導関数とグラフ）</w:t>
            </w:r>
            <w:r w:rsidR="004F6270" w:rsidRPr="00FF65C8">
              <w:rPr>
                <w:rFonts w:hint="eastAsia"/>
              </w:rPr>
              <w:t xml:space="preserve">　　　</w:t>
            </w:r>
            <w:r w:rsidRPr="00FF65C8">
              <w:rPr>
                <w:rFonts w:hint="eastAsia"/>
              </w:rPr>
              <w:t>など</w:t>
            </w:r>
          </w:p>
          <w:p w:rsidR="004F6270" w:rsidRDefault="00230865" w:rsidP="004F6270">
            <w:pPr>
              <w:ind w:left="210" w:hangingChars="100" w:hanging="210"/>
            </w:pPr>
            <w:r>
              <w:rPr>
                <w:rFonts w:hint="eastAsia"/>
              </w:rPr>
              <w:t>・</w:t>
            </w:r>
            <w:r w:rsidR="002B6586">
              <w:rPr>
                <w:rFonts w:hint="eastAsia"/>
              </w:rPr>
              <w:t>各節末問題は</w:t>
            </w:r>
            <w:r w:rsidR="00A00D9D">
              <w:rPr>
                <w:rFonts w:hint="eastAsia"/>
              </w:rPr>
              <w:t>「確認問題」とし，その節で学んだ内容の</w:t>
            </w:r>
            <w:r w:rsidR="002B6586">
              <w:rPr>
                <w:rFonts w:hint="eastAsia"/>
              </w:rPr>
              <w:t>理解</w:t>
            </w:r>
            <w:r w:rsidR="00A00D9D">
              <w:rPr>
                <w:rFonts w:hint="eastAsia"/>
              </w:rPr>
              <w:t>度を</w:t>
            </w:r>
            <w:r w:rsidR="002B6586">
              <w:rPr>
                <w:rFonts w:hint="eastAsia"/>
              </w:rPr>
              <w:t>確認できる問題で構成しています。</w:t>
            </w:r>
            <w:r w:rsidR="00A00D9D">
              <w:rPr>
                <w:rFonts w:hint="eastAsia"/>
              </w:rPr>
              <w:t>また，</w:t>
            </w:r>
            <w:r w:rsidR="002B6586">
              <w:rPr>
                <w:rFonts w:hint="eastAsia"/>
              </w:rPr>
              <w:t>章末</w:t>
            </w:r>
            <w:r w:rsidR="00A00D9D">
              <w:rPr>
                <w:rFonts w:hint="eastAsia"/>
              </w:rPr>
              <w:t>A</w:t>
            </w:r>
            <w:r w:rsidR="002B6586">
              <w:rPr>
                <w:rFonts w:hint="eastAsia"/>
              </w:rPr>
              <w:t>問題</w:t>
            </w:r>
            <w:r w:rsidR="00A00D9D">
              <w:rPr>
                <w:rFonts w:hint="eastAsia"/>
              </w:rPr>
              <w:t>は，その章で学習した内容を応用した問題で構成しています。</w:t>
            </w:r>
          </w:p>
          <w:p w:rsidR="002B6586" w:rsidRDefault="00A00D9D" w:rsidP="004F6270">
            <w:pPr>
              <w:ind w:left="210" w:hangingChars="100" w:hanging="210"/>
            </w:pPr>
            <w:r>
              <w:rPr>
                <w:rFonts w:hint="eastAsia"/>
              </w:rPr>
              <w:t>・章末</w:t>
            </w:r>
            <w:r>
              <w:rPr>
                <w:rFonts w:hint="eastAsia"/>
              </w:rPr>
              <w:t>B</w:t>
            </w:r>
            <w:r>
              <w:rPr>
                <w:rFonts w:hint="eastAsia"/>
              </w:rPr>
              <w:t>問題は，各章をさらに深められる内容や，読解力を養える内容を掲載しています。</w:t>
            </w:r>
          </w:p>
          <w:p w:rsidR="004F6270" w:rsidRPr="008F1688" w:rsidRDefault="004F6270" w:rsidP="004F6270">
            <w:pPr>
              <w:ind w:left="210" w:hangingChars="100" w:hanging="210"/>
            </w:pPr>
          </w:p>
        </w:tc>
      </w:tr>
      <w:tr w:rsidR="00552695"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rsidR="004F6270" w:rsidRDefault="00230865" w:rsidP="004F6270">
            <w:pPr>
              <w:ind w:left="231" w:hangingChars="110" w:hanging="231"/>
            </w:pPr>
            <w:r>
              <w:rPr>
                <w:rFonts w:hint="eastAsia"/>
              </w:rPr>
              <w:t>・</w:t>
            </w:r>
            <w:r w:rsidR="002D08DE">
              <w:rPr>
                <w:rFonts w:hint="eastAsia"/>
              </w:rPr>
              <w:t>受験だけに役立つような</w:t>
            </w:r>
            <w:r w:rsidR="002B6586">
              <w:rPr>
                <w:rFonts w:hint="eastAsia"/>
              </w:rPr>
              <w:t>知識だけではなく，ひとつひとつ基本的な内容から標準的な内容まで幅広く学習できる構成にしています。</w:t>
            </w:r>
          </w:p>
          <w:p w:rsidR="004F6270" w:rsidRPr="00553422" w:rsidRDefault="004F6270" w:rsidP="004F6270">
            <w:pPr>
              <w:ind w:left="231" w:hangingChars="110" w:hanging="231"/>
            </w:pPr>
          </w:p>
        </w:tc>
      </w:tr>
      <w:tr w:rsidR="004F6270" w:rsidTr="007F3F2D">
        <w:trPr>
          <w:cantSplit/>
          <w:trHeight w:val="281"/>
        </w:trPr>
        <w:tc>
          <w:tcPr>
            <w:tcW w:w="4258" w:type="dxa"/>
            <w:tcBorders>
              <w:top w:val="single" w:sz="4" w:space="0" w:color="000000"/>
              <w:left w:val="single" w:sz="4" w:space="0" w:color="000000"/>
              <w:bottom w:val="nil"/>
              <w:right w:val="single" w:sz="4" w:space="0" w:color="000000"/>
            </w:tcBorders>
          </w:tcPr>
          <w:p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rsidR="004F6270" w:rsidRDefault="004F6270" w:rsidP="004F6270">
            <w:r>
              <w:rPr>
                <w:rFonts w:hint="eastAsia"/>
              </w:rPr>
              <w:t>・例と問，例題と練習の内容をほぼ同等とすることで，生徒が自主的に問題に取り組める内容にしています。</w:t>
            </w:r>
          </w:p>
          <w:p w:rsidR="004F6270" w:rsidRDefault="004F6270" w:rsidP="004F6270">
            <w:pPr>
              <w:ind w:left="210" w:hangingChars="100" w:hanging="210"/>
            </w:pPr>
            <w:r>
              <w:rPr>
                <w:rFonts w:hint="eastAsia"/>
              </w:rPr>
              <w:t>・生徒が興味を持って取り組めるように，各章の章扉では，日常・社会の事象などの身近な題材を取り上げました。</w:t>
            </w:r>
          </w:p>
          <w:p w:rsidR="004F6270" w:rsidRDefault="004F6270" w:rsidP="004F6270">
            <w:pPr>
              <w:ind w:left="210" w:hangingChars="100" w:hanging="210"/>
            </w:pPr>
            <w:r>
              <w:rPr>
                <w:rFonts w:hint="eastAsia"/>
              </w:rPr>
              <w:t>・</w:t>
            </w:r>
            <w:r>
              <w:rPr>
                <w:rFonts w:hint="eastAsia"/>
              </w:rPr>
              <w:t>math</w:t>
            </w:r>
            <w:r>
              <w:rPr>
                <w:rFonts w:hint="eastAsia"/>
              </w:rPr>
              <w:t>探では，日常・社会の事象に関する題材について演習を取り上げたり，本文内容をふり返りながら深める内容を取り上げたりしました。</w:t>
            </w:r>
          </w:p>
          <w:p w:rsidR="00B24A68" w:rsidRDefault="00B24A68" w:rsidP="00B24A68">
            <w:pPr>
              <w:ind w:leftChars="100" w:left="210" w:firstLineChars="100" w:firstLine="210"/>
            </w:pPr>
            <w:r>
              <w:t>数学</w:t>
            </w:r>
            <w:r>
              <w:t>B</w:t>
            </w:r>
            <w:r>
              <w:t xml:space="preserve">　</w:t>
            </w:r>
            <w:r>
              <w:rPr>
                <w:rFonts w:hint="eastAsia"/>
              </w:rPr>
              <w:t>p</w:t>
            </w:r>
            <w:r>
              <w:t>.20</w:t>
            </w:r>
            <w:r w:rsidR="00D66154">
              <w:rPr>
                <w:rFonts w:hint="eastAsia"/>
              </w:rPr>
              <w:t>～</w:t>
            </w:r>
            <w:r w:rsidR="00D66154">
              <w:rPr>
                <w:rFonts w:hint="eastAsia"/>
              </w:rPr>
              <w:t>21</w:t>
            </w:r>
            <w:r>
              <w:t>（車のローンと複利法），</w:t>
            </w:r>
            <w:r>
              <w:t>44</w:t>
            </w:r>
            <w:r>
              <w:t>（ハノイの塔），</w:t>
            </w:r>
            <w:r>
              <w:t>98</w:t>
            </w:r>
            <w:r w:rsidR="00D66154">
              <w:t>（標本調査の</w:t>
            </w:r>
            <w:r w:rsidR="00D66154">
              <w:rPr>
                <w:rFonts w:hint="eastAsia"/>
              </w:rPr>
              <w:t>実際</w:t>
            </w:r>
            <w:r>
              <w:t>）</w:t>
            </w:r>
          </w:p>
          <w:p w:rsidR="00B24A68" w:rsidRDefault="00B24A68" w:rsidP="00B24A68">
            <w:pPr>
              <w:ind w:leftChars="100" w:left="210" w:firstLineChars="100" w:firstLine="210"/>
            </w:pPr>
            <w:r>
              <w:t>数学</w:t>
            </w:r>
            <w:r>
              <w:t>C</w:t>
            </w:r>
            <w:r>
              <w:t xml:space="preserve">　</w:t>
            </w:r>
            <w:r>
              <w:rPr>
                <w:rFonts w:hint="eastAsia"/>
              </w:rPr>
              <w:t>p</w:t>
            </w:r>
            <w:r>
              <w:t>.62</w:t>
            </w:r>
            <w:r>
              <w:t>（ヘリコプターの高度は？），</w:t>
            </w:r>
            <w:r>
              <w:t>92</w:t>
            </w:r>
            <w:r w:rsidR="00D66154">
              <w:rPr>
                <w:rFonts w:hint="eastAsia"/>
              </w:rPr>
              <w:t>～</w:t>
            </w:r>
            <w:r w:rsidR="00D66154">
              <w:rPr>
                <w:rFonts w:hint="eastAsia"/>
              </w:rPr>
              <w:t>93</w:t>
            </w:r>
            <w:r>
              <w:t>（宝の位置はどこ？），</w:t>
            </w:r>
            <w:r>
              <w:t>128</w:t>
            </w:r>
            <w:r w:rsidR="00D66154">
              <w:rPr>
                <w:rFonts w:hint="eastAsia"/>
              </w:rPr>
              <w:t>～</w:t>
            </w:r>
            <w:r w:rsidR="00D66154">
              <w:rPr>
                <w:rFonts w:hint="eastAsia"/>
              </w:rPr>
              <w:t>129</w:t>
            </w:r>
            <w:r>
              <w:t>（幾何学模様と媒介変数表示）</w:t>
            </w:r>
          </w:p>
          <w:p w:rsidR="00B24A68" w:rsidRDefault="00B24A68" w:rsidP="00B24A68">
            <w:pPr>
              <w:ind w:leftChars="100" w:left="210" w:firstLineChars="100" w:firstLine="210"/>
            </w:pPr>
            <w:r>
              <w:t>数学</w:t>
            </w:r>
            <w:r>
              <w:rPr>
                <w:rFonts w:ascii="ＭＳ 明朝" w:hAnsi="ＭＳ 明朝" w:cs="ＭＳ 明朝"/>
              </w:rPr>
              <w:t xml:space="preserve">Ⅲ　</w:t>
            </w:r>
            <w:r>
              <w:rPr>
                <w:rFonts w:hint="eastAsia"/>
              </w:rPr>
              <w:t>p</w:t>
            </w:r>
            <w:r>
              <w:t>.28</w:t>
            </w:r>
            <w:r w:rsidR="002A3E5F">
              <w:rPr>
                <w:rFonts w:hint="eastAsia"/>
              </w:rPr>
              <w:t>～</w:t>
            </w:r>
            <w:r w:rsidR="002A3E5F">
              <w:rPr>
                <w:rFonts w:hint="eastAsia"/>
              </w:rPr>
              <w:t>29</w:t>
            </w:r>
            <w:r>
              <w:t>（図を用いて無限級数を考える），</w:t>
            </w:r>
            <w:r>
              <w:t>58</w:t>
            </w:r>
            <w:r>
              <w:t>（極限をグラフから読み取る）　　　　　　　　　など</w:t>
            </w:r>
          </w:p>
          <w:p w:rsidR="004F6270" w:rsidRPr="004F6270" w:rsidRDefault="004F6270" w:rsidP="00B24A68">
            <w:pPr>
              <w:ind w:leftChars="100" w:left="210" w:firstLineChars="100" w:firstLine="210"/>
            </w:pPr>
          </w:p>
        </w:tc>
      </w:tr>
      <w:tr w:rsidR="004F6270"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rsidR="004F6270" w:rsidRDefault="004F6270" w:rsidP="004F6270">
            <w:r>
              <w:rPr>
                <w:rFonts w:hint="eastAsia"/>
              </w:rPr>
              <w:t>・指導要領の内容をすべて取り上げました。</w:t>
            </w:r>
          </w:p>
          <w:p w:rsidR="004F6270" w:rsidRDefault="004F6270" w:rsidP="004F6270">
            <w:pPr>
              <w:ind w:left="210" w:hangingChars="100" w:hanging="210"/>
              <w:rPr>
                <w:rFonts w:ascii="ＭＳ 明朝"/>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・数学的なものの見方・考え方を伸ばし，その中から，創造的な思考力と本質的な数学の学力，そして論理的な思考力を身につけさせることを目的に編集しました。</w:t>
            </w:r>
          </w:p>
          <w:p w:rsidR="004F6270" w:rsidRPr="008F1688" w:rsidRDefault="004F6270" w:rsidP="004F6270">
            <w:pPr>
              <w:ind w:left="210" w:hangingChars="100" w:hanging="210"/>
            </w:pPr>
          </w:p>
        </w:tc>
      </w:tr>
    </w:tbl>
    <w:p w:rsidR="004F6270" w:rsidRDefault="004F6270">
      <w:pPr>
        <w:autoSpaceDE w:val="0"/>
        <w:autoSpaceDN w:val="0"/>
        <w:adjustRightInd w:val="0"/>
        <w:jc w:val="left"/>
        <w:rPr>
          <w:rFonts w:ascii="ＭＳ 明朝" w:hAnsi="Times New Roman"/>
          <w:color w:val="000000"/>
          <w:kern w:val="0"/>
        </w:rPr>
      </w:pPr>
    </w:p>
    <w:p w:rsidR="004F6270" w:rsidRDefault="004F6270">
      <w:pPr>
        <w:widowControl/>
        <w:jc w:val="left"/>
        <w:rPr>
          <w:rFonts w:ascii="ＭＳ 明朝" w:hAnsi="Times New Roman"/>
          <w:color w:val="000000"/>
          <w:kern w:val="0"/>
        </w:rPr>
      </w:pPr>
    </w:p>
    <w:p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rsidTr="007F3F2D">
        <w:trPr>
          <w:cantSplit/>
          <w:trHeight w:val="267"/>
          <w:tblHeader/>
        </w:trPr>
        <w:tc>
          <w:tcPr>
            <w:tcW w:w="4253" w:type="dxa"/>
            <w:tcBorders>
              <w:top w:val="single" w:sz="4" w:space="0" w:color="000000"/>
              <w:left w:val="single" w:sz="4" w:space="0" w:color="000000"/>
              <w:bottom w:val="nil"/>
              <w:right w:val="single" w:sz="4" w:space="0" w:color="000000"/>
            </w:tcBorders>
          </w:tcPr>
          <w:p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rsidTr="007F3F2D">
        <w:trPr>
          <w:cantSplit/>
          <w:trHeight w:val="825"/>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bookmarkStart w:id="0" w:name="_GoBack"/>
            <w:bookmarkEnd w:id="0"/>
          </w:p>
        </w:tc>
        <w:tc>
          <w:tcPr>
            <w:tcW w:w="11198" w:type="dxa"/>
            <w:tcBorders>
              <w:top w:val="single" w:sz="4" w:space="0" w:color="000000"/>
              <w:left w:val="single" w:sz="4" w:space="0" w:color="000000"/>
              <w:right w:val="single" w:sz="4" w:space="0" w:color="000000"/>
            </w:tcBorders>
          </w:tcPr>
          <w:p w:rsidR="004F6270" w:rsidRDefault="00230865" w:rsidP="004F6270">
            <w:r>
              <w:rPr>
                <w:rFonts w:hint="eastAsia"/>
              </w:rPr>
              <w:t>・</w:t>
            </w:r>
            <w:r w:rsidR="002B6586">
              <w:rPr>
                <w:rFonts w:hint="eastAsia"/>
              </w:rPr>
              <w:t>既習事項との関連を考慮し，各章のはじめに</w:t>
            </w:r>
            <w:r w:rsidR="008F1688">
              <w:rPr>
                <w:rFonts w:hint="eastAsia"/>
              </w:rPr>
              <w:t>「</w:t>
            </w:r>
            <w:r w:rsidR="002B6586">
              <w:rPr>
                <w:rFonts w:hint="eastAsia"/>
              </w:rPr>
              <w:t>ふり返り</w:t>
            </w:r>
            <w:r w:rsidR="008F1688">
              <w:rPr>
                <w:rFonts w:hint="eastAsia"/>
              </w:rPr>
              <w:t>」を掲載しました。</w:t>
            </w:r>
          </w:p>
          <w:p w:rsidR="004F6270" w:rsidRDefault="004F6270" w:rsidP="004F6270">
            <w:pPr>
              <w:ind w:left="210" w:hangingChars="100" w:hanging="210"/>
            </w:pPr>
            <w:r>
              <w:rPr>
                <w:rFonts w:hint="eastAsia"/>
              </w:rPr>
              <w:t>・各節のはじめなど，内容の導入ページでは，既習事項と関連付けながら説明を簡潔にし，視覚的にも読みやすい構成にしています。</w:t>
            </w:r>
          </w:p>
          <w:p w:rsidR="00B61CA9" w:rsidRDefault="00B61CA9" w:rsidP="00B61CA9">
            <w:pPr>
              <w:ind w:leftChars="100" w:left="210" w:firstLineChars="100" w:firstLine="210"/>
            </w:pPr>
            <w:r>
              <w:t>数学</w:t>
            </w:r>
            <w:r>
              <w:t>B</w:t>
            </w:r>
            <w:r>
              <w:t xml:space="preserve">　</w:t>
            </w:r>
            <w:r>
              <w:rPr>
                <w:rFonts w:hint="eastAsia"/>
              </w:rPr>
              <w:t>p</w:t>
            </w:r>
            <w:r>
              <w:t>.50</w:t>
            </w:r>
            <w:r>
              <w:t>～</w:t>
            </w:r>
            <w:r>
              <w:t>51</w:t>
            </w:r>
            <w:r>
              <w:t>（確率分布），</w:t>
            </w:r>
            <w:r>
              <w:t>64</w:t>
            </w:r>
            <w:r>
              <w:t>（二項分布）</w:t>
            </w:r>
          </w:p>
          <w:p w:rsidR="00B61CA9" w:rsidRDefault="00B61CA9" w:rsidP="00B61CA9">
            <w:pPr>
              <w:ind w:leftChars="100" w:left="210" w:firstLineChars="100" w:firstLine="210"/>
            </w:pPr>
            <w:r>
              <w:t>数学</w:t>
            </w:r>
            <w:r>
              <w:t>C</w:t>
            </w:r>
            <w:r>
              <w:t xml:space="preserve">　</w:t>
            </w:r>
            <w:r>
              <w:rPr>
                <w:rFonts w:hint="eastAsia"/>
              </w:rPr>
              <w:t>p</w:t>
            </w:r>
            <w:r>
              <w:t>.</w:t>
            </w:r>
            <w:r w:rsidR="008D665B">
              <w:t>44</w:t>
            </w:r>
            <w:r w:rsidR="008D665B">
              <w:t>～</w:t>
            </w:r>
            <w:r w:rsidR="008D665B">
              <w:t>45</w:t>
            </w:r>
            <w:r w:rsidR="008D665B">
              <w:t>（空間における</w:t>
            </w:r>
            <w:r w:rsidR="002A3E5F">
              <w:rPr>
                <w:rFonts w:hint="eastAsia"/>
              </w:rPr>
              <w:t>ベクトル</w:t>
            </w:r>
            <w:r w:rsidR="008D665B">
              <w:t>），</w:t>
            </w:r>
            <w:r w:rsidR="008D665B">
              <w:t>83</w:t>
            </w:r>
            <w:r w:rsidR="008D665B">
              <w:t>（平面図形と複素数），</w:t>
            </w:r>
            <w:r w:rsidR="008D665B">
              <w:t>96</w:t>
            </w:r>
            <w:r w:rsidR="008D665B">
              <w:t>（</w:t>
            </w:r>
            <w:r w:rsidR="008D665B">
              <w:t>2</w:t>
            </w:r>
            <w:r w:rsidR="008D665B">
              <w:t>次曲線）</w:t>
            </w:r>
          </w:p>
          <w:p w:rsidR="008D665B" w:rsidRDefault="00B61CA9" w:rsidP="008D665B">
            <w:pPr>
              <w:ind w:leftChars="100" w:left="210" w:firstLineChars="100" w:firstLine="210"/>
            </w:pPr>
            <w:r>
              <w:t>数学</w:t>
            </w:r>
            <w:r>
              <w:rPr>
                <w:rFonts w:ascii="ＭＳ 明朝" w:hAnsi="ＭＳ 明朝" w:cs="ＭＳ 明朝"/>
              </w:rPr>
              <w:t xml:space="preserve">Ⅲ　</w:t>
            </w:r>
            <w:r>
              <w:rPr>
                <w:rFonts w:hint="eastAsia"/>
              </w:rPr>
              <w:t>p</w:t>
            </w:r>
            <w:r>
              <w:t>.</w:t>
            </w:r>
            <w:r w:rsidR="008D665B">
              <w:t>8</w:t>
            </w:r>
            <w:r w:rsidR="008D665B">
              <w:t>（無限数列），</w:t>
            </w:r>
            <w:r w:rsidR="008D665B">
              <w:t>34</w:t>
            </w:r>
            <w:r w:rsidR="008D665B">
              <w:t>（分数関数と無理関数），</w:t>
            </w:r>
            <w:r w:rsidR="008D665B">
              <w:t>68</w:t>
            </w:r>
            <w:r w:rsidR="002A3E5F">
              <w:t>（微分</w:t>
            </w:r>
            <w:r w:rsidR="008D665B">
              <w:t>と</w:t>
            </w:r>
            <w:r w:rsidR="002A3E5F">
              <w:rPr>
                <w:rFonts w:hint="eastAsia"/>
              </w:rPr>
              <w:t>導関数</w:t>
            </w:r>
            <w:r w:rsidR="008D665B">
              <w:t>）</w:t>
            </w:r>
            <w:r>
              <w:t xml:space="preserve">　　　　　　　　　など</w:t>
            </w:r>
          </w:p>
          <w:p w:rsidR="004F6270" w:rsidRDefault="004F6270" w:rsidP="004F6270">
            <w:pPr>
              <w:ind w:left="210" w:hangingChars="100" w:hanging="210"/>
            </w:pPr>
            <w:r>
              <w:rPr>
                <w:rFonts w:hint="eastAsia"/>
              </w:rPr>
              <w:t>・応用的な内容は「</w:t>
            </w:r>
            <w:r>
              <w:rPr>
                <w:rFonts w:hint="eastAsia"/>
              </w:rPr>
              <w:t>math</w:t>
            </w:r>
            <w:r>
              <w:rPr>
                <w:rFonts w:hint="eastAsia"/>
              </w:rPr>
              <w:t>探（研究）」として扱うことにより，習熟度にあわせて取捨選択しながら学習ができるようにしています。</w:t>
            </w:r>
          </w:p>
          <w:p w:rsidR="004F6270" w:rsidRPr="008F1688" w:rsidRDefault="004F6270" w:rsidP="00EF1452"/>
        </w:tc>
      </w:tr>
      <w:tr w:rsidR="004075F1" w:rsidTr="007F3F2D">
        <w:trPr>
          <w:cantSplit/>
          <w:trHeight w:val="1091"/>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rsidR="002B6586" w:rsidRDefault="00230865" w:rsidP="00ED1CE5">
            <w:r>
              <w:rPr>
                <w:rFonts w:hint="eastAsia"/>
              </w:rPr>
              <w:t>・</w:t>
            </w:r>
            <w:r w:rsidR="002B6586">
              <w:rPr>
                <w:rFonts w:hint="eastAsia"/>
              </w:rPr>
              <w:t>巻頭に本書を使った学習の進め方を掲載し，生徒が教科書をつかった学習をイメージしやすくしました。</w:t>
            </w:r>
          </w:p>
          <w:p w:rsidR="0090261B" w:rsidRDefault="002B6586" w:rsidP="00ED1CE5">
            <w:r>
              <w:rPr>
                <w:rFonts w:hint="eastAsia"/>
              </w:rPr>
              <w:t>・</w:t>
            </w:r>
            <w:r w:rsidR="008F1688">
              <w:rPr>
                <w:rFonts w:hint="eastAsia"/>
              </w:rPr>
              <w:t>学習の目的を明確にし</w:t>
            </w:r>
            <w:r>
              <w:rPr>
                <w:rFonts w:hint="eastAsia"/>
              </w:rPr>
              <w:t>，</w:t>
            </w:r>
            <w:r w:rsidR="008F1688">
              <w:rPr>
                <w:rFonts w:hint="eastAsia"/>
              </w:rPr>
              <w:t>学ぶ意欲を持続させる紙面構成にしました。</w:t>
            </w:r>
          </w:p>
          <w:p w:rsidR="004F6270" w:rsidRDefault="004F6270" w:rsidP="002B6586">
            <w:pPr>
              <w:ind w:firstLineChars="100" w:firstLine="210"/>
            </w:pPr>
            <w:r>
              <w:rPr>
                <w:rFonts w:hint="eastAsia"/>
              </w:rPr>
              <w:t>各章の章扉では，日常・社会の事象などの身近な題材を取り上げ，興味・関心を持てるようにしました。</w:t>
            </w:r>
          </w:p>
          <w:p w:rsidR="008F1688" w:rsidRDefault="002B6586" w:rsidP="002B6586">
            <w:pPr>
              <w:ind w:firstLineChars="100" w:firstLine="210"/>
            </w:pPr>
            <w:r>
              <w:rPr>
                <w:rFonts w:hint="eastAsia"/>
              </w:rPr>
              <w:t>例で学習する内容を簡潔に示し，必要に応じて問と同じ問いかけ文を掲載しました。</w:t>
            </w:r>
          </w:p>
          <w:p w:rsidR="008F1688" w:rsidRPr="008F1688" w:rsidRDefault="008F1688" w:rsidP="002B6586"/>
        </w:tc>
      </w:tr>
      <w:tr w:rsidR="004075F1" w:rsidRPr="002B6586" w:rsidTr="007F3F2D">
        <w:trPr>
          <w:cantSplit/>
          <w:trHeight w:val="931"/>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rsidR="004F6270" w:rsidRDefault="00230865" w:rsidP="004F6270">
            <w:pPr>
              <w:ind w:left="210" w:hangingChars="100" w:hanging="210"/>
            </w:pPr>
            <w:r>
              <w:rPr>
                <w:rFonts w:hint="eastAsia"/>
              </w:rPr>
              <w:t>・</w:t>
            </w:r>
            <w:r w:rsidR="002B6586">
              <w:rPr>
                <w:rFonts w:hint="eastAsia"/>
              </w:rPr>
              <w:t>各章の「ふり返り」では，</w:t>
            </w:r>
            <w:r w:rsidR="008F1688">
              <w:rPr>
                <w:rFonts w:hint="eastAsia"/>
              </w:rPr>
              <w:t>中学校の既習事項を高校数学の内容と関連させながら学習することを意識した展開にしています。</w:t>
            </w:r>
          </w:p>
          <w:p w:rsidR="008F1688" w:rsidRDefault="00230865" w:rsidP="004F6270">
            <w:pPr>
              <w:ind w:left="210" w:hangingChars="100" w:hanging="210"/>
            </w:pPr>
            <w:r>
              <w:rPr>
                <w:rFonts w:hint="eastAsia"/>
              </w:rPr>
              <w:t>・</w:t>
            </w:r>
            <w:r w:rsidR="002B6586">
              <w:rPr>
                <w:rFonts w:hint="eastAsia"/>
              </w:rPr>
              <w:t>各章の構成を，「ふり返り」→「本文」→「確認問題」→「章末</w:t>
            </w:r>
            <w:r w:rsidR="004F6270">
              <w:rPr>
                <w:rFonts w:hint="eastAsia"/>
              </w:rPr>
              <w:t>A</w:t>
            </w:r>
            <w:r w:rsidR="002B6586">
              <w:rPr>
                <w:rFonts w:hint="eastAsia"/>
              </w:rPr>
              <w:t>問題」と段階を</w:t>
            </w:r>
            <w:r w:rsidR="004F6270">
              <w:rPr>
                <w:rFonts w:hint="eastAsia"/>
              </w:rPr>
              <w:t>追って</w:t>
            </w:r>
            <w:r w:rsidR="002B6586">
              <w:rPr>
                <w:rFonts w:hint="eastAsia"/>
              </w:rPr>
              <w:t>応用性や難易度を上げることで，基本から応用まで系統的に学習できるようにしています。</w:t>
            </w:r>
          </w:p>
          <w:p w:rsidR="004F6270" w:rsidRPr="005674F1" w:rsidRDefault="004F6270" w:rsidP="002B6586">
            <w:pPr>
              <w:ind w:left="88" w:hangingChars="42" w:hanging="88"/>
            </w:pPr>
          </w:p>
        </w:tc>
      </w:tr>
      <w:tr w:rsidR="0049150C"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rsidR="0049150C" w:rsidRDefault="002B6586" w:rsidP="00380F38">
            <w:pPr>
              <w:rPr>
                <w:rFonts w:ascii="ＭＳ 明朝" w:hAnsi="Times New Roman"/>
                <w:color w:val="000000"/>
                <w:kern w:val="0"/>
                <w:sz w:val="20"/>
              </w:rPr>
            </w:pPr>
            <w:r>
              <w:rPr>
                <w:rFonts w:ascii="ＭＳ 明朝" w:hAnsi="Times New Roman" w:hint="eastAsia"/>
                <w:color w:val="000000"/>
                <w:kern w:val="0"/>
                <w:sz w:val="20"/>
              </w:rPr>
              <w:t>・本</w:t>
            </w:r>
            <w:r w:rsidRPr="002274FA">
              <w:rPr>
                <w:rFonts w:ascii="ＭＳ 明朝" w:hAnsi="Times New Roman" w:hint="eastAsia"/>
                <w:color w:val="000000"/>
                <w:kern w:val="0"/>
                <w:sz w:val="20"/>
              </w:rPr>
              <w:t>文については</w:t>
            </w:r>
            <w:r w:rsidR="004F6270">
              <w:rPr>
                <w:rFonts w:ascii="ＭＳ 明朝" w:hAnsi="Times New Roman" w:hint="eastAsia"/>
                <w:color w:val="000000"/>
                <w:kern w:val="0"/>
                <w:sz w:val="20"/>
              </w:rPr>
              <w:t>，</w:t>
            </w:r>
            <w:r w:rsidRPr="002274FA">
              <w:rPr>
                <w:rFonts w:ascii="ＭＳ 明朝" w:hAnsi="Times New Roman" w:hint="eastAsia"/>
                <w:color w:val="000000"/>
                <w:kern w:val="0"/>
                <w:sz w:val="20"/>
              </w:rPr>
              <w:t>１単位３０時間としても十分指導</w:t>
            </w:r>
            <w:r>
              <w:rPr>
                <w:rFonts w:ascii="ＭＳ 明朝" w:hAnsi="Times New Roman" w:hint="eastAsia"/>
                <w:color w:val="000000"/>
                <w:kern w:val="0"/>
                <w:sz w:val="20"/>
              </w:rPr>
              <w:t>できる</w:t>
            </w:r>
            <w:r w:rsidRPr="002274FA">
              <w:rPr>
                <w:rFonts w:ascii="ＭＳ 明朝" w:hAnsi="Times New Roman" w:hint="eastAsia"/>
                <w:color w:val="000000"/>
                <w:kern w:val="0"/>
                <w:sz w:val="20"/>
              </w:rPr>
              <w:t>ように内容を配分しています。</w:t>
            </w:r>
          </w:p>
          <w:p w:rsidR="004F6270" w:rsidRPr="00380F38" w:rsidRDefault="004F6270" w:rsidP="00380F38"/>
        </w:tc>
      </w:tr>
      <w:tr w:rsidR="0049150C" w:rsidTr="007F3F2D">
        <w:trPr>
          <w:cantSplit/>
          <w:trHeight w:val="697"/>
        </w:trPr>
        <w:tc>
          <w:tcPr>
            <w:tcW w:w="4253" w:type="dxa"/>
            <w:tcBorders>
              <w:top w:val="single" w:sz="4" w:space="0" w:color="000000"/>
              <w:left w:val="single" w:sz="4" w:space="0" w:color="000000"/>
              <w:bottom w:val="nil"/>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rsidR="004F6270" w:rsidRDefault="004F6270" w:rsidP="004F6270">
            <w:pPr>
              <w:ind w:left="210" w:hangingChars="100" w:hanging="210"/>
            </w:pPr>
            <w:r>
              <w:rPr>
                <w:rFonts w:hint="eastAsia"/>
              </w:rPr>
              <w:t>・本文内で，特に理解・定着をはかりたい問題は，確認問題にも反復できる問題を掲載しています。</w:t>
            </w:r>
          </w:p>
          <w:p w:rsidR="004F6270" w:rsidRPr="004F6270" w:rsidRDefault="004F6270" w:rsidP="002B6586">
            <w:pPr>
              <w:ind w:leftChars="1" w:left="88" w:hangingChars="41" w:hanging="86"/>
            </w:pPr>
          </w:p>
        </w:tc>
      </w:tr>
      <w:tr w:rsidR="0049150C" w:rsidTr="007F3F2D">
        <w:trPr>
          <w:cantSplit/>
          <w:trHeight w:val="877"/>
        </w:trPr>
        <w:tc>
          <w:tcPr>
            <w:tcW w:w="4253" w:type="dxa"/>
            <w:tcBorders>
              <w:top w:val="single" w:sz="4" w:space="0" w:color="000000"/>
              <w:left w:val="single" w:sz="4" w:space="0" w:color="000000"/>
              <w:bottom w:val="single" w:sz="4" w:space="0" w:color="000000"/>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w:t>
            </w:r>
            <w:r w:rsidR="00E354A3">
              <w:rPr>
                <w:rFonts w:ascii="ＭＳ 明朝" w:hAnsi="Times New Roman" w:hint="eastAsia"/>
                <w:color w:val="000000"/>
                <w:kern w:val="0"/>
              </w:rPr>
              <w:t>，</w:t>
            </w:r>
            <w:r>
              <w:rPr>
                <w:rFonts w:ascii="ＭＳ 明朝" w:hAnsi="Times New Roman" w:hint="eastAsia"/>
                <w:color w:val="000000"/>
                <w:kern w:val="0"/>
              </w:rPr>
              <w:t>精選されているか。</w:t>
            </w:r>
          </w:p>
        </w:tc>
        <w:tc>
          <w:tcPr>
            <w:tcW w:w="11198" w:type="dxa"/>
            <w:tcBorders>
              <w:top w:val="single" w:sz="4" w:space="0" w:color="000000"/>
              <w:left w:val="single" w:sz="4" w:space="0" w:color="000000"/>
              <w:bottom w:val="single" w:sz="4" w:space="0" w:color="000000"/>
              <w:right w:val="single" w:sz="4" w:space="0" w:color="000000"/>
            </w:tcBorders>
          </w:tcPr>
          <w:p w:rsidR="0049150C" w:rsidRDefault="00230865" w:rsidP="00380F38">
            <w:r>
              <w:rPr>
                <w:rFonts w:hint="eastAsia"/>
              </w:rPr>
              <w:t>・</w:t>
            </w:r>
            <w:r w:rsidR="00380F38">
              <w:rPr>
                <w:rFonts w:hint="eastAsia"/>
              </w:rPr>
              <w:t>基本的な内容に多くのページを割くようにしました。</w:t>
            </w:r>
          </w:p>
          <w:p w:rsidR="004F6270" w:rsidRDefault="004F6270" w:rsidP="00380F38">
            <w:r>
              <w:rPr>
                <w:rFonts w:hint="eastAsia"/>
              </w:rPr>
              <w:t>・記述は簡潔にまとめ，効果的に図式化や側注を掲載しています。</w:t>
            </w:r>
          </w:p>
          <w:p w:rsidR="00476BFE" w:rsidRDefault="00230865" w:rsidP="00380F38">
            <w:r>
              <w:rPr>
                <w:rFonts w:hint="eastAsia"/>
              </w:rPr>
              <w:t>・</w:t>
            </w:r>
            <w:r w:rsidR="00476BFE">
              <w:rPr>
                <w:rFonts w:hint="eastAsia"/>
              </w:rPr>
              <w:t>重要語句とその定義が一目でわかるように工夫しました。（重要語句</w:t>
            </w:r>
            <w:r w:rsidR="004F6270">
              <w:rPr>
                <w:rFonts w:hint="eastAsia"/>
              </w:rPr>
              <w:t>と定義</w:t>
            </w:r>
            <w:r w:rsidR="00476BFE">
              <w:rPr>
                <w:rFonts w:hint="eastAsia"/>
              </w:rPr>
              <w:t>：太字</w:t>
            </w:r>
            <w:r w:rsidR="004F6270">
              <w:rPr>
                <w:rFonts w:hint="eastAsia"/>
              </w:rPr>
              <w:t>と</w:t>
            </w:r>
            <w:r w:rsidR="00476BFE">
              <w:rPr>
                <w:rFonts w:hint="eastAsia"/>
              </w:rPr>
              <w:t>破線</w:t>
            </w:r>
            <w:r w:rsidR="004F6270">
              <w:rPr>
                <w:rFonts w:hint="eastAsia"/>
              </w:rPr>
              <w:t>，重要事項：枠囲み</w:t>
            </w:r>
            <w:r w:rsidR="00476BFE">
              <w:rPr>
                <w:rFonts w:hint="eastAsia"/>
              </w:rPr>
              <w:t>）</w:t>
            </w:r>
          </w:p>
          <w:p w:rsidR="004F6270" w:rsidRPr="00476BFE" w:rsidRDefault="004F6270" w:rsidP="00380F38"/>
        </w:tc>
      </w:tr>
    </w:tbl>
    <w:p w:rsidR="0049150C" w:rsidRDefault="0049150C"/>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CC" w:rsidRDefault="008A65CC" w:rsidP="008F1688">
      <w:r>
        <w:separator/>
      </w:r>
    </w:p>
  </w:endnote>
  <w:endnote w:type="continuationSeparator" w:id="0">
    <w:p w:rsidR="008A65CC" w:rsidRDefault="008A65CC"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CC" w:rsidRDefault="008A65CC" w:rsidP="008F1688">
      <w:r>
        <w:separator/>
      </w:r>
    </w:p>
  </w:footnote>
  <w:footnote w:type="continuationSeparator" w:id="0">
    <w:p w:rsidR="008A65CC" w:rsidRDefault="008A65CC"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0C"/>
    <w:rsid w:val="00032272"/>
    <w:rsid w:val="000929E8"/>
    <w:rsid w:val="001025A2"/>
    <w:rsid w:val="0013334F"/>
    <w:rsid w:val="001961D2"/>
    <w:rsid w:val="002249B1"/>
    <w:rsid w:val="00230865"/>
    <w:rsid w:val="002A3E5F"/>
    <w:rsid w:val="002B6586"/>
    <w:rsid w:val="002C78D4"/>
    <w:rsid w:val="002D08DE"/>
    <w:rsid w:val="00301BE0"/>
    <w:rsid w:val="003357B2"/>
    <w:rsid w:val="00380F38"/>
    <w:rsid w:val="003856B3"/>
    <w:rsid w:val="00385D61"/>
    <w:rsid w:val="004075F1"/>
    <w:rsid w:val="00476BFE"/>
    <w:rsid w:val="00484254"/>
    <w:rsid w:val="0049150C"/>
    <w:rsid w:val="004F6270"/>
    <w:rsid w:val="00516ABA"/>
    <w:rsid w:val="00552695"/>
    <w:rsid w:val="00553422"/>
    <w:rsid w:val="005674F1"/>
    <w:rsid w:val="0058193B"/>
    <w:rsid w:val="005955D8"/>
    <w:rsid w:val="005E12A0"/>
    <w:rsid w:val="005E62E5"/>
    <w:rsid w:val="00636313"/>
    <w:rsid w:val="00641453"/>
    <w:rsid w:val="00641B17"/>
    <w:rsid w:val="00644ABE"/>
    <w:rsid w:val="006913D9"/>
    <w:rsid w:val="006A3158"/>
    <w:rsid w:val="00743037"/>
    <w:rsid w:val="00760CA2"/>
    <w:rsid w:val="00770DFA"/>
    <w:rsid w:val="00781DED"/>
    <w:rsid w:val="007F3F2D"/>
    <w:rsid w:val="008229E5"/>
    <w:rsid w:val="008A65CC"/>
    <w:rsid w:val="008D665B"/>
    <w:rsid w:val="008F1688"/>
    <w:rsid w:val="0090261B"/>
    <w:rsid w:val="00934C93"/>
    <w:rsid w:val="00936274"/>
    <w:rsid w:val="009A1952"/>
    <w:rsid w:val="009A3D07"/>
    <w:rsid w:val="009A4F33"/>
    <w:rsid w:val="009D1EB8"/>
    <w:rsid w:val="009D5314"/>
    <w:rsid w:val="00A00D9D"/>
    <w:rsid w:val="00A644F7"/>
    <w:rsid w:val="00A75E6B"/>
    <w:rsid w:val="00B20017"/>
    <w:rsid w:val="00B24A68"/>
    <w:rsid w:val="00B61CA9"/>
    <w:rsid w:val="00B74272"/>
    <w:rsid w:val="00BA43ED"/>
    <w:rsid w:val="00BC0AE1"/>
    <w:rsid w:val="00C24586"/>
    <w:rsid w:val="00C72933"/>
    <w:rsid w:val="00C833F1"/>
    <w:rsid w:val="00CC3DCF"/>
    <w:rsid w:val="00D46878"/>
    <w:rsid w:val="00D66154"/>
    <w:rsid w:val="00E32D29"/>
    <w:rsid w:val="00E354A3"/>
    <w:rsid w:val="00EA0D1A"/>
    <w:rsid w:val="00EA2D7C"/>
    <w:rsid w:val="00EB1AFF"/>
    <w:rsid w:val="00ED1CE5"/>
    <w:rsid w:val="00EE2205"/>
    <w:rsid w:val="00EF1452"/>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06D6F0"/>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 w:type="paragraph" w:styleId="a7">
    <w:name w:val="Balloon Text"/>
    <w:basedOn w:val="a"/>
    <w:link w:val="a8"/>
    <w:uiPriority w:val="99"/>
    <w:semiHidden/>
    <w:unhideWhenUsed/>
    <w:rsid w:val="009D1E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1E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2456</Words>
  <Characters>201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増田愛</cp:lastModifiedBy>
  <cp:revision>14</cp:revision>
  <cp:lastPrinted>2022-03-15T07:03:00Z</cp:lastPrinted>
  <dcterms:created xsi:type="dcterms:W3CDTF">2022-03-08T06:56:00Z</dcterms:created>
  <dcterms:modified xsi:type="dcterms:W3CDTF">2022-03-15T07:25:00Z</dcterms:modified>
</cp:coreProperties>
</file>