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ACDF" w14:textId="4814BFB7" w:rsidR="00A270C3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C3609B">
        <w:rPr>
          <w:rFonts w:ascii="ＭＳ ゴシック" w:eastAsia="ＭＳ ゴシック" w:hAnsi="ＭＳ ゴシック"/>
          <w:szCs w:val="21"/>
        </w:rPr>
        <w:t xml:space="preserve">啓林館　LANMDARK </w:t>
      </w:r>
      <w:r w:rsidR="00CA2D62" w:rsidRPr="00C3609B">
        <w:rPr>
          <w:rFonts w:ascii="ＭＳ ゴシック" w:eastAsia="ＭＳ ゴシック" w:hAnsi="ＭＳ ゴシック"/>
          <w:szCs w:val="21"/>
        </w:rPr>
        <w:t xml:space="preserve">Fit </w:t>
      </w:r>
      <w:r w:rsidRPr="00C3609B">
        <w:rPr>
          <w:rFonts w:ascii="ＭＳ ゴシック" w:eastAsia="ＭＳ ゴシック" w:hAnsi="ＭＳ ゴシック"/>
          <w:szCs w:val="21"/>
        </w:rPr>
        <w:t>English Communication</w:t>
      </w:r>
      <w:r w:rsidR="00BD430C">
        <w:rPr>
          <w:rFonts w:ascii="ＭＳ ゴシック" w:eastAsia="ＭＳ ゴシック" w:hAnsi="ＭＳ ゴシック"/>
          <w:szCs w:val="21"/>
        </w:rPr>
        <w:t xml:space="preserve"> </w:t>
      </w:r>
      <w:r w:rsidR="00BD430C">
        <w:rPr>
          <w:rFonts w:ascii="ＭＳ ゴシック" w:eastAsia="ＭＳ ゴシック" w:hAnsi="ＭＳ ゴシック" w:hint="eastAsia"/>
          <w:szCs w:val="21"/>
        </w:rPr>
        <w:t>Ⅲ</w:t>
      </w:r>
      <w:r w:rsidRPr="00C3609B">
        <w:rPr>
          <w:rFonts w:ascii="ＭＳ ゴシック" w:eastAsia="ＭＳ ゴシック" w:hAnsi="ＭＳ ゴシック"/>
          <w:szCs w:val="21"/>
        </w:rPr>
        <w:t>（C</w:t>
      </w:r>
      <w:r w:rsidR="00BD430C">
        <w:rPr>
          <w:rFonts w:ascii="ＭＳ ゴシック" w:eastAsia="ＭＳ ゴシック" w:hAnsi="ＭＳ ゴシック" w:hint="eastAsia"/>
          <w:szCs w:val="21"/>
        </w:rPr>
        <w:t>Ⅲ</w:t>
      </w:r>
      <w:r w:rsidRPr="00821850">
        <w:rPr>
          <w:rFonts w:ascii="ＭＳ ゴシック" w:eastAsia="ＭＳ ゴシック" w:hAnsi="ＭＳ ゴシック"/>
          <w:color w:val="000000" w:themeColor="text1"/>
          <w:szCs w:val="21"/>
        </w:rPr>
        <w:t>71</w:t>
      </w:r>
      <w:r w:rsidR="00A307D2" w:rsidRPr="00821850">
        <w:rPr>
          <w:rFonts w:ascii="ＭＳ ゴシック" w:eastAsia="ＭＳ ゴシック" w:hAnsi="ＭＳ ゴシック"/>
          <w:color w:val="000000" w:themeColor="text1"/>
          <w:szCs w:val="21"/>
        </w:rPr>
        <w:t>2</w:t>
      </w:r>
      <w:r w:rsidRPr="00821850">
        <w:rPr>
          <w:rFonts w:ascii="ＭＳ ゴシック" w:eastAsia="ＭＳ ゴシック" w:hAnsi="ＭＳ ゴシック"/>
          <w:color w:val="000000" w:themeColor="text1"/>
          <w:szCs w:val="21"/>
        </w:rPr>
        <w:t>）</w:t>
      </w:r>
    </w:p>
    <w:p w14:paraId="60E9A786" w14:textId="77777777" w:rsidR="00C3609B" w:rsidRPr="00BD430C" w:rsidRDefault="00C3609B" w:rsidP="00404DCF">
      <w:pPr>
        <w:jc w:val="center"/>
        <w:rPr>
          <w:rFonts w:ascii="ＭＳ ゴシック" w:eastAsia="ＭＳ ゴシック" w:hAnsi="ＭＳ ゴシック"/>
          <w:szCs w:val="21"/>
        </w:rPr>
      </w:pPr>
    </w:p>
    <w:p w14:paraId="7ECCA893" w14:textId="77777777" w:rsidR="00404DCF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>観点一覧</w:t>
      </w:r>
    </w:p>
    <w:p w14:paraId="0C6C1AFF" w14:textId="77777777" w:rsidR="00404DCF" w:rsidRPr="00C3609B" w:rsidRDefault="00404DCF" w:rsidP="00404DCF">
      <w:pPr>
        <w:rPr>
          <w:rFonts w:ascii="Century" w:eastAsia="ＭＳ 明朝" w:hAnsi="Century"/>
          <w:szCs w:val="21"/>
        </w:rPr>
      </w:pPr>
    </w:p>
    <w:p w14:paraId="2A546B66" w14:textId="77777777"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内容の取扱い</w:t>
      </w:r>
    </w:p>
    <w:p w14:paraId="03A8FBD4" w14:textId="77777777" w:rsidR="00404DCF" w:rsidRPr="00C3609B" w:rsidRDefault="00C3609B" w:rsidP="00404DCF">
      <w:pPr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>1.</w:t>
      </w:r>
      <w:r w:rsidRPr="00C3609B">
        <w:rPr>
          <w:rFonts w:ascii="Century" w:eastAsia="ＭＳ 明朝" w:hAnsi="Century" w:cs="Segoe UI Symbol"/>
          <w:szCs w:val="21"/>
        </w:rPr>
        <w:t xml:space="preserve"> </w:t>
      </w:r>
      <w:r w:rsidR="00404DCF" w:rsidRPr="00C3609B">
        <w:rPr>
          <w:rFonts w:ascii="Century" w:eastAsia="ＭＳ 明朝" w:hAnsi="Century" w:cs="Segoe UI Symbol"/>
          <w:szCs w:val="21"/>
        </w:rPr>
        <w:t>教師にとって教えやすく，生徒にとって学びやすい教科書</w:t>
      </w:r>
      <w:r w:rsidRPr="00C3609B">
        <w:rPr>
          <w:rFonts w:ascii="Century" w:eastAsia="ＭＳ 明朝" w:hAnsi="Century" w:cs="Segoe UI Symbol"/>
          <w:szCs w:val="21"/>
        </w:rPr>
        <w:t>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14:paraId="04D1AA58" w14:textId="77777777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2. </w:t>
      </w:r>
      <w:r w:rsidR="00A310D4" w:rsidRPr="00C3609B">
        <w:rPr>
          <w:rFonts w:ascii="Century" w:eastAsia="ＭＳ 明朝" w:hAnsi="Century" w:cs="Segoe UI Symbol"/>
          <w:szCs w:val="21"/>
        </w:rPr>
        <w:t>古今東西の話題から，生徒が自ら積極的に関与できる題材が厳選してあり，生徒の英語力向上や精神的な成長に寄与できるようになっている。</w:t>
      </w:r>
    </w:p>
    <w:p w14:paraId="7A809987" w14:textId="71E4577F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3. </w:t>
      </w:r>
      <w:r w:rsidR="00A310D4" w:rsidRPr="00C3609B">
        <w:rPr>
          <w:rFonts w:ascii="Century" w:eastAsia="ＭＳ 明朝" w:hAnsi="Century" w:cs="Segoe UI Symbol"/>
          <w:szCs w:val="21"/>
        </w:rPr>
        <w:t>説明文・</w:t>
      </w:r>
      <w:r w:rsidR="00BD430C">
        <w:rPr>
          <w:rFonts w:ascii="Century" w:eastAsia="ＭＳ 明朝" w:hAnsi="Century" w:cs="Segoe UI Symbol" w:hint="eastAsia"/>
          <w:szCs w:val="21"/>
        </w:rPr>
        <w:t>パンフレット・ウェブサイト</w:t>
      </w:r>
      <w:r w:rsidR="00A310D4" w:rsidRPr="00C3609B">
        <w:rPr>
          <w:rFonts w:ascii="Century" w:eastAsia="ＭＳ 明朝" w:hAnsi="Century" w:cs="Segoe UI Symbol"/>
          <w:szCs w:val="21"/>
        </w:rPr>
        <w:t>・</w:t>
      </w:r>
      <w:r w:rsidR="00BD430C">
        <w:rPr>
          <w:rFonts w:ascii="Century" w:eastAsia="ＭＳ 明朝" w:hAnsi="Century" w:cs="Segoe UI Symbol" w:hint="eastAsia"/>
          <w:szCs w:val="21"/>
        </w:rPr>
        <w:t>インタビュー</w:t>
      </w:r>
      <w:r w:rsidR="00A310D4" w:rsidRPr="00C3609B">
        <w:rPr>
          <w:rFonts w:ascii="Century" w:eastAsia="ＭＳ 明朝" w:hAnsi="Century" w:cs="Segoe UI Symbol"/>
          <w:szCs w:val="21"/>
        </w:rPr>
        <w:t>など，さまざまな言語の使用場面</w:t>
      </w:r>
      <w:r w:rsidR="00BD430C">
        <w:rPr>
          <w:rFonts w:ascii="Century" w:eastAsia="ＭＳ 明朝" w:hAnsi="Century" w:cs="Segoe UI Symbol" w:hint="eastAsia"/>
          <w:szCs w:val="21"/>
        </w:rPr>
        <w:t>を想定している</w:t>
      </w:r>
      <w:r w:rsidR="00A310D4" w:rsidRPr="00C3609B">
        <w:rPr>
          <w:rFonts w:ascii="Century" w:eastAsia="ＭＳ 明朝" w:hAnsi="Century" w:cs="Segoe UI Symbol"/>
          <w:szCs w:val="21"/>
        </w:rPr>
        <w:t>。</w:t>
      </w:r>
    </w:p>
    <w:p w14:paraId="328ECCA6" w14:textId="77777777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4. </w:t>
      </w:r>
      <w:r w:rsidR="00A310D4" w:rsidRPr="00C3609B">
        <w:rPr>
          <w:rFonts w:ascii="Century" w:eastAsia="ＭＳ 明朝" w:hAnsi="Century" w:cs="Segoe UI Symbol"/>
          <w:szCs w:val="21"/>
        </w:rPr>
        <w:t>英語の</w:t>
      </w:r>
      <w:r w:rsidR="00A310D4" w:rsidRPr="00C3609B">
        <w:rPr>
          <w:rFonts w:ascii="Century" w:eastAsia="ＭＳ 明朝" w:hAnsi="Century" w:cs="Times New Roman"/>
          <w:szCs w:val="21"/>
        </w:rPr>
        <w:t>4</w:t>
      </w:r>
      <w:r w:rsidR="00A310D4" w:rsidRPr="00C3609B">
        <w:rPr>
          <w:rFonts w:ascii="Century" w:eastAsia="ＭＳ 明朝" w:hAnsi="Century" w:cs="Segoe UI Symbol"/>
          <w:szCs w:val="21"/>
        </w:rPr>
        <w:t>技能を統合的に活用できるよう工夫してあり，生徒が積極的にコミュニケーションを図ろうとする態度を養えるようになっている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14:paraId="2B4DD8D8" w14:textId="77777777"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14:paraId="64849675" w14:textId="77777777"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14:paraId="4D8CE4FD" w14:textId="77777777"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単元の構成・配列及び分量</w:t>
      </w:r>
    </w:p>
    <w:p w14:paraId="313999A0" w14:textId="1BA4DC3D" w:rsidR="00404DCF" w:rsidRPr="00821850" w:rsidRDefault="00C3609B" w:rsidP="00404DCF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1. </w:t>
      </w:r>
      <w:r w:rsidR="00404DCF" w:rsidRPr="00C3609B">
        <w:rPr>
          <w:rFonts w:ascii="Century" w:eastAsia="ＭＳ 明朝" w:hAnsi="Century" w:cs="Segoe UI Symbol"/>
          <w:szCs w:val="21"/>
        </w:rPr>
        <w:t>本課を</w:t>
      </w:r>
      <w:r w:rsidR="00365FEC">
        <w:rPr>
          <w:rFonts w:ascii="Century" w:eastAsia="ＭＳ 明朝" w:hAnsi="Century" w:cs="Segoe UI Symbol" w:hint="eastAsia"/>
          <w:szCs w:val="21"/>
        </w:rPr>
        <w:t>1</w:t>
      </w:r>
      <w:r w:rsidR="00365FEC">
        <w:rPr>
          <w:rFonts w:ascii="Century" w:eastAsia="ＭＳ 明朝" w:hAnsi="Century" w:cs="Segoe UI Symbol"/>
          <w:szCs w:val="21"/>
        </w:rPr>
        <w:t>0</w:t>
      </w:r>
      <w:r w:rsidR="00404DCF" w:rsidRPr="00C3609B">
        <w:rPr>
          <w:rFonts w:ascii="Century" w:eastAsia="ＭＳ 明朝" w:hAnsi="Century" w:cs="Segoe UI Symbol"/>
          <w:szCs w:val="21"/>
        </w:rPr>
        <w:t>課，</w:t>
      </w:r>
      <w:r w:rsidR="00404DCF" w:rsidRPr="00821850">
        <w:rPr>
          <w:rFonts w:ascii="Century" w:eastAsia="ＭＳ 明朝" w:hAnsi="Century" w:cs="Segoe UI Symbol"/>
          <w:color w:val="000000" w:themeColor="text1"/>
          <w:szCs w:val="21"/>
        </w:rPr>
        <w:t>読み物（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Reading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）を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2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課設けてある。</w:t>
      </w:r>
    </w:p>
    <w:p w14:paraId="09C74F31" w14:textId="687294B7" w:rsidR="00404DCF" w:rsidRPr="00821850" w:rsidRDefault="00C3609B" w:rsidP="00C3609B">
      <w:pPr>
        <w:ind w:left="283" w:hangingChars="135" w:hanging="283"/>
        <w:rPr>
          <w:rFonts w:ascii="Century" w:eastAsia="ＭＳ 明朝" w:hAnsi="Century" w:cs="Times New Roman"/>
          <w:color w:val="000000" w:themeColor="text1"/>
          <w:szCs w:val="21"/>
        </w:rPr>
      </w:pP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2. 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本課</w:t>
      </w:r>
      <w:r w:rsidR="00A1791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や読み物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以外に，プレゼンテーションのやり方を学ぶ</w:t>
      </w:r>
      <w:r w:rsidR="00FA3192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Lesson for 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Presentation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，ディスカッションのやり方を学ぶ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L</w:t>
      </w:r>
      <w:r w:rsidR="00FA3192" w:rsidRPr="00821850">
        <w:rPr>
          <w:rFonts w:ascii="Century" w:eastAsia="ＭＳ 明朝" w:hAnsi="Century" w:cs="Times New Roman"/>
          <w:color w:val="000000" w:themeColor="text1"/>
          <w:szCs w:val="21"/>
        </w:rPr>
        <w:t xml:space="preserve">esson for </w:t>
      </w:r>
      <w:r w:rsidR="00365FEC" w:rsidRPr="00821850">
        <w:rPr>
          <w:rFonts w:ascii="Century" w:eastAsia="ＭＳ 明朝" w:hAnsi="Century" w:cs="Times New Roman"/>
          <w:color w:val="000000" w:themeColor="text1"/>
          <w:szCs w:val="21"/>
        </w:rPr>
        <w:t>Discussion</w:t>
      </w:r>
      <w:r w:rsidR="00CA2D62" w:rsidRPr="00821850">
        <w:rPr>
          <w:rFonts w:ascii="Century" w:eastAsia="ＭＳ 明朝" w:hAnsi="Century" w:cs="Times New Roman"/>
          <w:color w:val="000000" w:themeColor="text1"/>
          <w:szCs w:val="21"/>
        </w:rPr>
        <w:t>，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日常的な使用場面で英語を学ぶ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D</w:t>
      </w:r>
      <w:r w:rsidR="00365FEC" w:rsidRPr="00821850">
        <w:rPr>
          <w:rFonts w:ascii="Century" w:eastAsia="ＭＳ 明朝" w:hAnsi="Century" w:cs="Times New Roman"/>
          <w:color w:val="000000" w:themeColor="text1"/>
          <w:szCs w:val="21"/>
        </w:rPr>
        <w:t xml:space="preserve">aily English Around You 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①～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④</w:t>
      </w:r>
      <w:r w:rsidR="00365FEC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，</w:t>
      </w:r>
      <w:r w:rsidR="00CA2D62" w:rsidRPr="00821850">
        <w:rPr>
          <w:rFonts w:ascii="Century" w:eastAsia="ＭＳ 明朝" w:hAnsi="Century" w:cs="Times New Roman"/>
          <w:color w:val="000000" w:themeColor="text1"/>
          <w:szCs w:val="21"/>
        </w:rPr>
        <w:t>SDGs</w:t>
      </w:r>
      <w:r w:rsidR="00CA2D62" w:rsidRPr="00821850">
        <w:rPr>
          <w:rFonts w:ascii="Century" w:eastAsia="ＭＳ 明朝" w:hAnsi="Century" w:cs="Times New Roman"/>
          <w:color w:val="000000" w:themeColor="text1"/>
          <w:szCs w:val="21"/>
        </w:rPr>
        <w:t>について</w:t>
      </w:r>
      <w:r w:rsidR="00A1791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学ぶ</w:t>
      </w:r>
      <w:r w:rsidR="00CA2D62" w:rsidRPr="00821850">
        <w:rPr>
          <w:rFonts w:ascii="Century" w:eastAsia="ＭＳ 明朝" w:hAnsi="Century" w:cs="Times New Roman"/>
          <w:color w:val="000000" w:themeColor="text1"/>
          <w:szCs w:val="21"/>
        </w:rPr>
        <w:t>SDGs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 xml:space="preserve"> </w:t>
      </w:r>
      <w:r w:rsidR="00FA3192" w:rsidRPr="00821850">
        <w:rPr>
          <w:rFonts w:ascii="Century" w:eastAsia="ＭＳ 明朝" w:hAnsi="Century" w:cs="Times New Roman"/>
          <w:color w:val="000000" w:themeColor="text1"/>
          <w:szCs w:val="21"/>
        </w:rPr>
        <w:t>0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7</w:t>
      </w:r>
      <w:r w:rsidR="00A1791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～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1</w:t>
      </w:r>
      <w:r w:rsidR="00FA3192" w:rsidRPr="00821850">
        <w:rPr>
          <w:rFonts w:ascii="Century" w:eastAsia="ＭＳ 明朝" w:hAnsi="Century" w:cs="Times New Roman"/>
          <w:color w:val="000000" w:themeColor="text1"/>
          <w:szCs w:val="21"/>
        </w:rPr>
        <w:t>0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を</w:t>
      </w:r>
      <w:r w:rsidR="00A1791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設けてある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。</w:t>
      </w:r>
    </w:p>
    <w:p w14:paraId="01AECA0B" w14:textId="219F7D04" w:rsidR="00A1791E" w:rsidRPr="00821850" w:rsidRDefault="00A1791E" w:rsidP="00A1791E">
      <w:pPr>
        <w:ind w:left="283" w:hangingChars="135" w:hanging="283"/>
        <w:rPr>
          <w:rFonts w:ascii="Century" w:eastAsia="ＭＳ 明朝" w:hAnsi="Century" w:cs="Times New Roman"/>
          <w:color w:val="000000" w:themeColor="text1"/>
          <w:szCs w:val="21"/>
        </w:rPr>
      </w:pPr>
      <w:r w:rsidRPr="00821850">
        <w:rPr>
          <w:rFonts w:ascii="Century" w:eastAsia="ＭＳ 明朝" w:hAnsi="Century" w:cs="Times New Roman"/>
          <w:color w:val="000000" w:themeColor="text1"/>
          <w:szCs w:val="21"/>
        </w:rPr>
        <w:t xml:space="preserve">3. 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Stage 1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（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Lesson 1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～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4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）と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tage 2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（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L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esson 5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～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10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）の二部構成となっており，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tage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 1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では日常学習を，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tage 2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では入試を意識した内容にしてある。</w:t>
      </w:r>
    </w:p>
    <w:p w14:paraId="3E35C9E4" w14:textId="53B1FBE5" w:rsidR="00404DCF" w:rsidRPr="00821850" w:rsidRDefault="00A1791E" w:rsidP="00C3609B">
      <w:pPr>
        <w:ind w:left="283" w:hangingChars="135" w:hanging="283"/>
        <w:rPr>
          <w:rFonts w:ascii="Century" w:eastAsia="ＭＳ 明朝" w:hAnsi="Century" w:cs="Times New Roman"/>
          <w:color w:val="000000" w:themeColor="text1"/>
          <w:szCs w:val="21"/>
        </w:rPr>
      </w:pPr>
      <w:r w:rsidRPr="00821850">
        <w:rPr>
          <w:rFonts w:ascii="Century" w:eastAsia="ＭＳ 明朝" w:hAnsi="Century" w:cs="Times New Roman"/>
          <w:color w:val="000000" w:themeColor="text1"/>
          <w:szCs w:val="21"/>
        </w:rPr>
        <w:t>4</w:t>
      </w:r>
      <w:r w:rsidR="00C3609B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. </w:t>
      </w:r>
      <w:r w:rsidR="00CA2D62" w:rsidRPr="00821850">
        <w:rPr>
          <w:rFonts w:ascii="Century" w:eastAsia="ＭＳ 明朝" w:hAnsi="Century" w:cs="Times New Roman"/>
          <w:color w:val="000000" w:themeColor="text1"/>
          <w:szCs w:val="21"/>
        </w:rPr>
        <w:t>各課の扉ページは写真・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リスニング</w:t>
      </w:r>
      <w:r w:rsidR="00DC22B9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・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やり取り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など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の活動で構成され，英語による導入を行いやすく工夫してある。</w:t>
      </w:r>
    </w:p>
    <w:p w14:paraId="308F076C" w14:textId="155E5EB4" w:rsidR="00404DCF" w:rsidRPr="00821850" w:rsidRDefault="00A1791E" w:rsidP="00C3609B">
      <w:pPr>
        <w:ind w:left="283" w:hangingChars="135" w:hanging="283"/>
        <w:rPr>
          <w:rFonts w:ascii="Century" w:eastAsia="ＭＳ 明朝" w:hAnsi="Century" w:cs="Times New Roman"/>
          <w:color w:val="000000" w:themeColor="text1"/>
          <w:szCs w:val="21"/>
        </w:rPr>
      </w:pPr>
      <w:r w:rsidRPr="00821850">
        <w:rPr>
          <w:rFonts w:ascii="Century" w:eastAsia="ＭＳ 明朝" w:hAnsi="Century" w:cs="Times New Roman"/>
          <w:color w:val="000000" w:themeColor="text1"/>
          <w:szCs w:val="21"/>
        </w:rPr>
        <w:t>5</w:t>
      </w:r>
      <w:r w:rsidR="00C3609B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. 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本課の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本文は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5</w:t>
      </w:r>
      <w:r w:rsidR="00EA6A0D" w:rsidRPr="00821850">
        <w:rPr>
          <w:rFonts w:ascii="Century" w:eastAsia="ＭＳ 明朝" w:hAnsi="Century" w:cs="Times New Roman"/>
          <w:color w:val="000000" w:themeColor="text1"/>
          <w:szCs w:val="21"/>
        </w:rPr>
        <w:t>00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～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6</w:t>
      </w:r>
      <w:r w:rsidR="00EA6A0D" w:rsidRPr="00821850">
        <w:rPr>
          <w:rFonts w:ascii="Century" w:eastAsia="ＭＳ 明朝" w:hAnsi="Century" w:cs="Times New Roman"/>
          <w:color w:val="000000" w:themeColor="text1"/>
          <w:szCs w:val="21"/>
        </w:rPr>
        <w:t>00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語</w:t>
      </w:r>
      <w:r w:rsidR="00CA2D62" w:rsidRPr="00821850">
        <w:rPr>
          <w:rFonts w:ascii="Century" w:eastAsia="ＭＳ 明朝" w:hAnsi="Century" w:cs="Times New Roman"/>
          <w:color w:val="000000" w:themeColor="text1"/>
          <w:szCs w:val="21"/>
        </w:rPr>
        <w:t>程度</w:t>
      </w:r>
      <w:r w:rsidR="00404DCF" w:rsidRPr="00821850">
        <w:rPr>
          <w:rFonts w:ascii="Century" w:eastAsia="ＭＳ 明朝" w:hAnsi="Century" w:cs="Times New Roman"/>
          <w:color w:val="000000" w:themeColor="text1"/>
          <w:szCs w:val="21"/>
        </w:rPr>
        <w:t>の標準的な英語で構成され，写真や</w:t>
      </w:r>
      <w:r w:rsidR="00261D4E" w:rsidRPr="00821850">
        <w:rPr>
          <w:rFonts w:ascii="Century" w:eastAsia="ＭＳ 明朝" w:hAnsi="Century" w:cs="Times New Roman"/>
          <w:color w:val="000000" w:themeColor="text1"/>
          <w:szCs w:val="21"/>
        </w:rPr>
        <w:t>図を交えて理解しやすく提示してある。</w:t>
      </w:r>
    </w:p>
    <w:p w14:paraId="7A1C7AAB" w14:textId="660D653D" w:rsidR="00CA2D62" w:rsidRPr="00821850" w:rsidRDefault="00A1791E" w:rsidP="00404DCF">
      <w:pPr>
        <w:ind w:left="420" w:hangingChars="200" w:hanging="420"/>
        <w:rPr>
          <w:rFonts w:ascii="Century" w:eastAsia="ＭＳ 明朝" w:hAnsi="Century" w:cs="Times New Roman"/>
          <w:color w:val="000000" w:themeColor="text1"/>
          <w:szCs w:val="21"/>
        </w:rPr>
      </w:pPr>
      <w:r w:rsidRPr="00821850">
        <w:rPr>
          <w:rFonts w:ascii="Century" w:eastAsia="ＭＳ 明朝" w:hAnsi="Century" w:cs="Times New Roman"/>
          <w:color w:val="000000" w:themeColor="text1"/>
          <w:szCs w:val="21"/>
        </w:rPr>
        <w:t>6</w:t>
      </w:r>
      <w:r w:rsidR="00C3609B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. </w:t>
      </w:r>
      <w:r w:rsidR="00261D4E" w:rsidRPr="00821850">
        <w:rPr>
          <w:rFonts w:ascii="Century" w:eastAsia="ＭＳ 明朝" w:hAnsi="Century" w:cs="Times New Roman"/>
          <w:color w:val="000000" w:themeColor="text1"/>
          <w:szCs w:val="21"/>
        </w:rPr>
        <w:t>新出語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と重要表現は，出現順に色を変えて</w:t>
      </w:r>
      <w:r w:rsidR="00261D4E" w:rsidRPr="00821850">
        <w:rPr>
          <w:rFonts w:ascii="Century" w:eastAsia="ＭＳ 明朝" w:hAnsi="Century" w:cs="Times New Roman"/>
          <w:color w:val="000000" w:themeColor="text1"/>
          <w:szCs w:val="21"/>
        </w:rPr>
        <w:t>分かりやすく提示してある。</w:t>
      </w:r>
    </w:p>
    <w:p w14:paraId="319AFA6B" w14:textId="488E4FC1" w:rsidR="00261D4E" w:rsidRDefault="00A1791E" w:rsidP="00EA6A0D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821850">
        <w:rPr>
          <w:rFonts w:ascii="Century" w:eastAsia="ＭＳ 明朝" w:hAnsi="Century" w:cs="Times New Roman"/>
          <w:color w:val="000000" w:themeColor="text1"/>
          <w:szCs w:val="21"/>
        </w:rPr>
        <w:t>7</w:t>
      </w:r>
      <w:r w:rsidR="00C3609B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. 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Stage 1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の</w:t>
      </w:r>
      <w:r w:rsidR="00A310D4" w:rsidRPr="00821850">
        <w:rPr>
          <w:rFonts w:ascii="Century" w:eastAsia="ＭＳ 明朝" w:hAnsi="Century" w:cs="Times New Roman"/>
          <w:color w:val="000000" w:themeColor="text1"/>
          <w:szCs w:val="21"/>
        </w:rPr>
        <w:t>練習問題は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，①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英英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語義（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Word Hunt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），②</w:t>
      </w:r>
      <w:r w:rsidR="00A310D4" w:rsidRPr="00821850">
        <w:rPr>
          <w:rFonts w:ascii="Century" w:eastAsia="ＭＳ 明朝" w:hAnsi="Century" w:cs="Times New Roman"/>
          <w:color w:val="000000" w:themeColor="text1"/>
          <w:szCs w:val="21"/>
        </w:rPr>
        <w:t>内容理解（</w:t>
      </w:r>
      <w:r w:rsidR="00A310D4" w:rsidRPr="00821850">
        <w:rPr>
          <w:rFonts w:ascii="Century" w:eastAsia="ＭＳ 明朝" w:hAnsi="Century" w:cs="Times New Roman"/>
          <w:color w:val="000000" w:themeColor="text1"/>
          <w:szCs w:val="21"/>
        </w:rPr>
        <w:t>Check Up!</w:t>
      </w:r>
      <w:r w:rsidR="00A310D4" w:rsidRPr="00821850">
        <w:rPr>
          <w:rFonts w:ascii="Century" w:eastAsia="ＭＳ 明朝" w:hAnsi="Century" w:cs="Times New Roman"/>
          <w:color w:val="000000" w:themeColor="text1"/>
          <w:szCs w:val="21"/>
        </w:rPr>
        <w:t>）</w:t>
      </w:r>
      <w:r w:rsidR="00C3609B" w:rsidRPr="00821850">
        <w:rPr>
          <w:rFonts w:ascii="Century" w:eastAsia="ＭＳ 明朝" w:hAnsi="Century" w:cs="Times New Roman"/>
          <w:color w:val="000000" w:themeColor="text1"/>
          <w:szCs w:val="21"/>
        </w:rPr>
        <w:t>，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③</w:t>
      </w:r>
      <w:r w:rsidR="00C3609B" w:rsidRPr="00821850">
        <w:rPr>
          <w:rFonts w:ascii="Century" w:eastAsia="ＭＳ 明朝" w:hAnsi="Century" w:cs="Times New Roman"/>
          <w:color w:val="000000" w:themeColor="text1"/>
          <w:szCs w:val="21"/>
        </w:rPr>
        <w:t>要約</w:t>
      </w:r>
      <w:r w:rsidR="00A310D4" w:rsidRPr="00821850">
        <w:rPr>
          <w:rFonts w:ascii="Century" w:eastAsia="ＭＳ 明朝" w:hAnsi="Century" w:cs="Times New Roman"/>
          <w:color w:val="000000" w:themeColor="text1"/>
          <w:szCs w:val="21"/>
        </w:rPr>
        <w:t>（</w:t>
      </w:r>
      <w:r w:rsidR="00A310D4" w:rsidRPr="00821850">
        <w:rPr>
          <w:rFonts w:ascii="Century" w:eastAsia="ＭＳ 明朝" w:hAnsi="Century" w:cs="Times New Roman"/>
          <w:color w:val="000000" w:themeColor="text1"/>
          <w:szCs w:val="21"/>
        </w:rPr>
        <w:t>Sum Up</w:t>
      </w:r>
      <w:r w:rsidR="00A53F4E" w:rsidRPr="00821850">
        <w:rPr>
          <w:rFonts w:ascii="Century" w:eastAsia="ＭＳ 明朝" w:hAnsi="Century" w:cs="Times New Roman"/>
          <w:color w:val="000000" w:themeColor="text1"/>
          <w:szCs w:val="21"/>
        </w:rPr>
        <w:t>！）</w:t>
      </w:r>
      <w:r w:rsidR="00C3609B" w:rsidRPr="00821850">
        <w:rPr>
          <w:rFonts w:ascii="Century" w:eastAsia="ＭＳ 明朝" w:hAnsi="Century" w:cs="Times New Roman"/>
          <w:color w:val="000000" w:themeColor="text1"/>
          <w:szCs w:val="21"/>
        </w:rPr>
        <w:t>，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④</w:t>
      </w:r>
      <w:r w:rsidRPr="00821850">
        <w:rPr>
          <w:rFonts w:ascii="ＭＳ 明朝" w:eastAsia="ＭＳ 明朝" w:hAnsi="ＭＳ 明朝" w:cs="ＭＳ 明朝" w:hint="eastAsia"/>
          <w:color w:val="000000" w:themeColor="text1"/>
          <w:szCs w:val="21"/>
        </w:rPr>
        <w:t>発信</w:t>
      </w:r>
      <w:r w:rsidR="00A53F4E" w:rsidRPr="00821850">
        <w:rPr>
          <w:rFonts w:ascii="Century" w:eastAsia="ＭＳ 明朝" w:hAnsi="Century" w:cs="Times New Roman"/>
          <w:color w:val="000000" w:themeColor="text1"/>
          <w:szCs w:val="21"/>
        </w:rPr>
        <w:t>活動（</w:t>
      </w:r>
      <w:r w:rsidR="00A53F4E" w:rsidRPr="00821850">
        <w:rPr>
          <w:rFonts w:ascii="Century" w:eastAsia="ＭＳ 明朝" w:hAnsi="Century" w:cs="Times New Roman"/>
          <w:color w:val="000000" w:themeColor="text1"/>
          <w:szCs w:val="21"/>
        </w:rPr>
        <w:t>Speak Out!</w:t>
      </w:r>
      <w:r w:rsidR="00A53F4E" w:rsidRPr="00821850">
        <w:rPr>
          <w:rFonts w:ascii="Century" w:eastAsia="ＭＳ 明朝" w:hAnsi="Century" w:cs="Times New Roman"/>
          <w:color w:val="000000" w:themeColor="text1"/>
          <w:szCs w:val="21"/>
        </w:rPr>
        <w:t>）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が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Part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ごとに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用意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してある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。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</w:t>
      </w:r>
      <w:r w:rsidRPr="00821850">
        <w:rPr>
          <w:rFonts w:ascii="Century" w:eastAsia="ＭＳ 明朝" w:hAnsi="Century" w:cs="Times New Roman"/>
          <w:color w:val="000000" w:themeColor="text1"/>
          <w:szCs w:val="21"/>
        </w:rPr>
        <w:t>tage 2</w:t>
      </w:r>
      <w:r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の練習問題は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，各ページの拾い読み（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S</w:t>
      </w:r>
      <w:r w:rsidR="00C1102E" w:rsidRPr="00821850">
        <w:rPr>
          <w:rFonts w:ascii="Century" w:eastAsia="ＭＳ 明朝" w:hAnsi="Century" w:cs="Times New Roman"/>
          <w:color w:val="000000" w:themeColor="text1"/>
          <w:szCs w:val="21"/>
        </w:rPr>
        <w:t>kimming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）のほか，課末に内容理解（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C</w:t>
      </w:r>
      <w:r w:rsidR="00C1102E" w:rsidRPr="00821850">
        <w:rPr>
          <w:rFonts w:ascii="Century" w:eastAsia="ＭＳ 明朝" w:hAnsi="Century" w:cs="Times New Roman"/>
          <w:color w:val="000000" w:themeColor="text1"/>
          <w:szCs w:val="21"/>
        </w:rPr>
        <w:t>omprehension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）が用意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してある</w:t>
      </w:r>
      <w:r w:rsidR="00C1102E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。さらに</w:t>
      </w:r>
      <w:r w:rsidR="00EA6A0D" w:rsidRPr="00821850">
        <w:rPr>
          <w:rFonts w:ascii="Century" w:eastAsia="ＭＳ 明朝" w:hAnsi="Century" w:cs="Times New Roman" w:hint="eastAsia"/>
          <w:color w:val="000000" w:themeColor="text1"/>
          <w:szCs w:val="21"/>
        </w:rPr>
        <w:t>，全課を通じて，</w:t>
      </w:r>
      <w:r w:rsidR="00A53F4E" w:rsidRPr="00821850">
        <w:rPr>
          <w:rFonts w:ascii="Century" w:eastAsia="ＭＳ 明朝" w:hAnsi="Century" w:cs="Times New Roman"/>
          <w:color w:val="000000" w:themeColor="text1"/>
          <w:szCs w:val="21"/>
        </w:rPr>
        <w:t>課</w:t>
      </w:r>
      <w:r w:rsidR="00A53F4E" w:rsidRPr="00C3609B">
        <w:rPr>
          <w:rFonts w:ascii="Century" w:eastAsia="ＭＳ 明朝" w:hAnsi="Century" w:cs="Times New Roman"/>
          <w:szCs w:val="21"/>
        </w:rPr>
        <w:t>末に総合的な内容理解（</w:t>
      </w:r>
      <w:r w:rsidR="00A53F4E" w:rsidRPr="00C3609B">
        <w:rPr>
          <w:rFonts w:ascii="Century" w:eastAsia="ＭＳ 明朝" w:hAnsi="Century" w:cs="Times New Roman"/>
          <w:szCs w:val="21"/>
        </w:rPr>
        <w:t>Finish Up!</w:t>
      </w:r>
      <w:r w:rsidR="00A53F4E" w:rsidRPr="00C3609B">
        <w:rPr>
          <w:rFonts w:ascii="Century" w:eastAsia="ＭＳ 明朝" w:hAnsi="Century" w:cs="Times New Roman"/>
          <w:szCs w:val="21"/>
        </w:rPr>
        <w:t>）と言語活動（</w:t>
      </w:r>
      <w:r w:rsidR="00A53F4E" w:rsidRPr="00C3609B">
        <w:rPr>
          <w:rFonts w:ascii="Century" w:eastAsia="ＭＳ 明朝" w:hAnsi="Century" w:cs="Times New Roman"/>
          <w:szCs w:val="21"/>
        </w:rPr>
        <w:t>OUTPUT</w:t>
      </w:r>
      <w:r w:rsidR="00A53F4E" w:rsidRPr="00C3609B">
        <w:rPr>
          <w:rFonts w:ascii="Century" w:eastAsia="ＭＳ 明朝" w:hAnsi="Century" w:cs="Times New Roman"/>
          <w:szCs w:val="21"/>
        </w:rPr>
        <w:t>）が用意</w:t>
      </w:r>
      <w:r w:rsidR="00EA6A0D">
        <w:rPr>
          <w:rFonts w:ascii="Century" w:eastAsia="ＭＳ 明朝" w:hAnsi="Century" w:cs="Times New Roman" w:hint="eastAsia"/>
          <w:szCs w:val="21"/>
        </w:rPr>
        <w:t>してある</w:t>
      </w:r>
      <w:r w:rsidR="00A53F4E" w:rsidRPr="00C3609B">
        <w:rPr>
          <w:rFonts w:ascii="Century" w:eastAsia="ＭＳ 明朝" w:hAnsi="Century" w:cs="Times New Roman"/>
          <w:szCs w:val="21"/>
        </w:rPr>
        <w:t>。</w:t>
      </w:r>
    </w:p>
    <w:p w14:paraId="0A1B6D0F" w14:textId="1FC5E0E0" w:rsidR="00C1102E" w:rsidRPr="00C3609B" w:rsidRDefault="00C1102E" w:rsidP="00A1791E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8</w:t>
      </w:r>
      <w:r>
        <w:rPr>
          <w:rFonts w:ascii="Century" w:eastAsia="ＭＳ 明朝" w:hAnsi="Century" w:cs="Times New Roman"/>
          <w:szCs w:val="21"/>
        </w:rPr>
        <w:t>.</w:t>
      </w:r>
      <w:r>
        <w:rPr>
          <w:rFonts w:ascii="Century" w:eastAsia="ＭＳ 明朝" w:hAnsi="Century" w:cs="Times New Roman" w:hint="eastAsia"/>
          <w:szCs w:val="21"/>
        </w:rPr>
        <w:t xml:space="preserve"> </w:t>
      </w:r>
      <w:r>
        <w:rPr>
          <w:rFonts w:ascii="Century" w:eastAsia="ＭＳ 明朝" w:hAnsi="Century" w:cs="Times New Roman" w:hint="eastAsia"/>
          <w:szCs w:val="21"/>
        </w:rPr>
        <w:t>その他，各課の最後には独自の情報ページ（</w:t>
      </w:r>
      <w:r>
        <w:rPr>
          <w:rFonts w:ascii="Century" w:eastAsia="ＭＳ 明朝" w:hAnsi="Century" w:cs="Times New Roman" w:hint="eastAsia"/>
          <w:szCs w:val="21"/>
        </w:rPr>
        <w:t>More Information</w:t>
      </w:r>
      <w:r>
        <w:rPr>
          <w:rFonts w:ascii="Century" w:eastAsia="ＭＳ 明朝" w:hAnsi="Century" w:cs="Times New Roman" w:hint="eastAsia"/>
          <w:szCs w:val="21"/>
        </w:rPr>
        <w:t>）が用意してあり，題材内容をより深めることができるように工夫してある。</w:t>
      </w:r>
    </w:p>
    <w:sectPr w:rsidR="00C1102E" w:rsidRPr="00C3609B" w:rsidSect="00F870B9">
      <w:pgSz w:w="10319" w:h="14572" w:code="13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2511B" w14:textId="77777777" w:rsidR="000751E4" w:rsidRDefault="000751E4"/>
  </w:endnote>
  <w:endnote w:type="continuationSeparator" w:id="0">
    <w:p w14:paraId="569F7624" w14:textId="77777777" w:rsidR="000751E4" w:rsidRDefault="00075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59DEF" w14:textId="77777777" w:rsidR="000751E4" w:rsidRDefault="000751E4"/>
  </w:footnote>
  <w:footnote w:type="continuationSeparator" w:id="0">
    <w:p w14:paraId="4C660F03" w14:textId="77777777" w:rsidR="000751E4" w:rsidRDefault="000751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CF"/>
    <w:rsid w:val="000751E4"/>
    <w:rsid w:val="00261D4E"/>
    <w:rsid w:val="002C2B04"/>
    <w:rsid w:val="002E5C2A"/>
    <w:rsid w:val="002F0332"/>
    <w:rsid w:val="00365FEC"/>
    <w:rsid w:val="00404DCF"/>
    <w:rsid w:val="006B6B29"/>
    <w:rsid w:val="006C606A"/>
    <w:rsid w:val="00757EA7"/>
    <w:rsid w:val="00821850"/>
    <w:rsid w:val="00A1791E"/>
    <w:rsid w:val="00A270C3"/>
    <w:rsid w:val="00A307D2"/>
    <w:rsid w:val="00A310D4"/>
    <w:rsid w:val="00A53F4E"/>
    <w:rsid w:val="00B5670D"/>
    <w:rsid w:val="00BD430C"/>
    <w:rsid w:val="00C1102E"/>
    <w:rsid w:val="00C3609B"/>
    <w:rsid w:val="00CA2D62"/>
    <w:rsid w:val="00D00A77"/>
    <w:rsid w:val="00D31C50"/>
    <w:rsid w:val="00D72055"/>
    <w:rsid w:val="00DC22B9"/>
    <w:rsid w:val="00EA6A0D"/>
    <w:rsid w:val="00F8160F"/>
    <w:rsid w:val="00F870B9"/>
    <w:rsid w:val="00F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C976B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0F"/>
  </w:style>
  <w:style w:type="paragraph" w:styleId="a5">
    <w:name w:val="footer"/>
    <w:basedOn w:val="a"/>
    <w:link w:val="a6"/>
    <w:uiPriority w:val="99"/>
    <w:unhideWhenUsed/>
    <w:rsid w:val="00F8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0F"/>
  </w:style>
  <w:style w:type="paragraph" w:styleId="a7">
    <w:name w:val="Balloon Text"/>
    <w:basedOn w:val="a"/>
    <w:link w:val="a8"/>
    <w:uiPriority w:val="99"/>
    <w:semiHidden/>
    <w:unhideWhenUsed/>
    <w:rsid w:val="00F81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2022-06-10T05:30:00Z</cp:lastPrinted>
  <dcterms:created xsi:type="dcterms:W3CDTF">2023-06-22T05:19:00Z</dcterms:created>
  <dcterms:modified xsi:type="dcterms:W3CDTF">2023-12-12T07:14:00Z</dcterms:modified>
</cp:coreProperties>
</file>